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036A9" w14:textId="59F496C2" w:rsidR="00537DA9" w:rsidRPr="00805D4E" w:rsidRDefault="00CF3C1C" w:rsidP="00476092">
      <w:pPr>
        <w:spacing w:line="240" w:lineRule="auto"/>
        <w:rPr>
          <w:b/>
          <w:bCs/>
          <w:rtl/>
        </w:rPr>
      </w:pPr>
      <w:r>
        <w:rPr>
          <w:rFonts w:hint="cs"/>
          <w:rtl/>
        </w:rPr>
        <w:tab/>
      </w:r>
    </w:p>
    <w:tbl>
      <w:tblPr>
        <w:bidiVisual/>
        <w:tblW w:w="0" w:type="auto"/>
        <w:tblBorders>
          <w:insideV w:val="single" w:sz="4" w:space="0" w:color="auto"/>
        </w:tblBorders>
        <w:tblLayout w:type="fixed"/>
        <w:tblLook w:val="0000" w:firstRow="0" w:lastRow="0" w:firstColumn="0" w:lastColumn="0" w:noHBand="0" w:noVBand="0"/>
      </w:tblPr>
      <w:tblGrid>
        <w:gridCol w:w="4750"/>
        <w:gridCol w:w="4320"/>
      </w:tblGrid>
      <w:tr w:rsidR="00476092" w:rsidRPr="00805D4E" w14:paraId="5A22BB2A" w14:textId="77777777" w:rsidTr="00351844">
        <w:tc>
          <w:tcPr>
            <w:tcW w:w="9070" w:type="dxa"/>
            <w:gridSpan w:val="2"/>
            <w:tcMar>
              <w:left w:w="85" w:type="dxa"/>
              <w:right w:w="85" w:type="dxa"/>
            </w:tcMar>
          </w:tcPr>
          <w:p w14:paraId="1C37E216" w14:textId="77777777" w:rsidR="00476092" w:rsidRPr="00476092" w:rsidRDefault="00476092" w:rsidP="00476092">
            <w:pPr>
              <w:jc w:val="center"/>
              <w:rPr>
                <w:rFonts w:ascii="David" w:hAnsi="David"/>
                <w:b/>
                <w:bCs/>
                <w:sz w:val="24"/>
              </w:rPr>
            </w:pPr>
            <w:r w:rsidRPr="00476092">
              <w:rPr>
                <w:rFonts w:ascii="David" w:hAnsi="David"/>
                <w:b/>
                <w:bCs/>
                <w:sz w:val="24"/>
                <w:rtl/>
              </w:rPr>
              <w:t>הנחיות לתכנון וביצוע מבדק מרוחק</w:t>
            </w:r>
          </w:p>
          <w:p w14:paraId="59ADA94E" w14:textId="77777777" w:rsidR="00476092" w:rsidRDefault="00476092" w:rsidP="00476092">
            <w:pPr>
              <w:spacing w:line="240" w:lineRule="auto"/>
              <w:jc w:val="center"/>
              <w:rPr>
                <w:rFonts w:ascii="David" w:hAnsi="David"/>
                <w:b/>
                <w:bCs/>
                <w:sz w:val="24"/>
                <w:rtl/>
              </w:rPr>
            </w:pPr>
            <w:r w:rsidRPr="00476092">
              <w:rPr>
                <w:rFonts w:ascii="David" w:hAnsi="David"/>
                <w:b/>
                <w:bCs/>
                <w:sz w:val="24"/>
              </w:rPr>
              <w:t>Instructions for Planning and Conducting a Remote Assessment</w:t>
            </w:r>
          </w:p>
          <w:p w14:paraId="2B042C42" w14:textId="26E927EE" w:rsidR="00476092" w:rsidRPr="00476092" w:rsidRDefault="00476092" w:rsidP="00476092">
            <w:pPr>
              <w:spacing w:line="240" w:lineRule="auto"/>
              <w:jc w:val="center"/>
              <w:rPr>
                <w:b/>
                <w:bCs/>
                <w:sz w:val="20"/>
                <w:szCs w:val="20"/>
              </w:rPr>
            </w:pPr>
          </w:p>
        </w:tc>
      </w:tr>
      <w:tr w:rsidR="00091AA0" w:rsidRPr="00805D4E" w14:paraId="718A6579" w14:textId="77777777" w:rsidTr="1A719332">
        <w:tc>
          <w:tcPr>
            <w:tcW w:w="4750" w:type="dxa"/>
            <w:tcMar>
              <w:left w:w="85" w:type="dxa"/>
              <w:right w:w="85" w:type="dxa"/>
            </w:tcMar>
          </w:tcPr>
          <w:p w14:paraId="49A2F59C" w14:textId="720D72AC" w:rsidR="00546956" w:rsidRPr="003A2ED2" w:rsidRDefault="006C2712" w:rsidP="003A2ED2">
            <w:pPr>
              <w:pStyle w:val="ListParagraph"/>
              <w:numPr>
                <w:ilvl w:val="0"/>
                <w:numId w:val="6"/>
              </w:numPr>
              <w:jc w:val="both"/>
              <w:rPr>
                <w:rFonts w:ascii="David" w:hAnsi="David" w:cs="David"/>
                <w:sz w:val="24"/>
                <w:rtl/>
              </w:rPr>
            </w:pPr>
            <w:r w:rsidRPr="000D1665">
              <w:rPr>
                <w:rFonts w:ascii="David" w:hAnsi="David" w:cs="David"/>
                <w:sz w:val="24"/>
                <w:rtl/>
              </w:rPr>
              <w:t>מעת לעת ביצוע מבדק באתרי הארגון לא יתאפשר</w:t>
            </w:r>
            <w:r w:rsidR="003A2ED2">
              <w:rPr>
                <w:rFonts w:ascii="David" w:hAnsi="David" w:cs="David" w:hint="cs"/>
                <w:sz w:val="24"/>
                <w:rtl/>
              </w:rPr>
              <w:t xml:space="preserve"> בנסיבות מיוחדות ה</w:t>
            </w:r>
            <w:r w:rsidRPr="000D1665">
              <w:rPr>
                <w:rFonts w:ascii="David" w:hAnsi="David" w:cs="David"/>
                <w:sz w:val="24"/>
                <w:rtl/>
              </w:rPr>
              <w:t xml:space="preserve">משפיעות על התנהלות הרשות </w:t>
            </w:r>
            <w:r w:rsidR="00805D4E" w:rsidRPr="000D1665">
              <w:rPr>
                <w:rFonts w:ascii="David" w:hAnsi="David" w:cs="David"/>
                <w:sz w:val="24"/>
                <w:rtl/>
              </w:rPr>
              <w:t xml:space="preserve">הלאומית להסמכת מעבדות (להלן, "הרשות") </w:t>
            </w:r>
            <w:r w:rsidRPr="000D1665">
              <w:rPr>
                <w:rFonts w:ascii="David" w:hAnsi="David" w:cs="David"/>
                <w:sz w:val="24"/>
                <w:rtl/>
              </w:rPr>
              <w:t>וצוות הבודקים ו/או התנהלות הארגון הנבדק וצוותו.</w:t>
            </w:r>
          </w:p>
          <w:p w14:paraId="6D20DF37" w14:textId="08F52740" w:rsidR="000D1665" w:rsidRDefault="000D1665" w:rsidP="000D1665">
            <w:pPr>
              <w:pStyle w:val="ListParagraph"/>
              <w:jc w:val="both"/>
              <w:rPr>
                <w:rFonts w:ascii="David" w:hAnsi="David" w:cs="David"/>
                <w:sz w:val="24"/>
                <w:rtl/>
              </w:rPr>
            </w:pPr>
          </w:p>
          <w:p w14:paraId="3FEF71FB" w14:textId="77777777" w:rsidR="003A2ED2" w:rsidRPr="000D1665" w:rsidRDefault="003A2ED2" w:rsidP="000D1665">
            <w:pPr>
              <w:pStyle w:val="ListParagraph"/>
              <w:jc w:val="both"/>
              <w:rPr>
                <w:rFonts w:ascii="David" w:hAnsi="David" w:cs="David"/>
                <w:sz w:val="24"/>
              </w:rPr>
            </w:pPr>
          </w:p>
          <w:p w14:paraId="6EFF9138" w14:textId="00EDFDEF" w:rsidR="006C2712" w:rsidRPr="000D1665"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הרשות יחד עם הארגון הנבדק, יעשו את מירב המאמצים על מנת לעמוד בהנחיות הרשות ולוחות הזמנים הנדרשים בתהליך ההסמכה. בכלל זה, ביצוע מבדק מרוחק </w:t>
            </w:r>
            <w:r w:rsidR="000017AF">
              <w:rPr>
                <w:rFonts w:ascii="David" w:hAnsi="David" w:cs="David" w:hint="cs"/>
                <w:sz w:val="24"/>
                <w:rtl/>
              </w:rPr>
              <w:t>באמצעים</w:t>
            </w:r>
            <w:r w:rsidRPr="000D1665">
              <w:rPr>
                <w:rFonts w:ascii="David" w:hAnsi="David" w:cs="David"/>
                <w:sz w:val="24"/>
                <w:rtl/>
              </w:rPr>
              <w:t xml:space="preserve"> טכנולוגים שונים של חלק או כל מבדק. מבדק מרוחק ה</w:t>
            </w:r>
            <w:r w:rsidR="000038CA" w:rsidRPr="000D1665">
              <w:rPr>
                <w:rFonts w:ascii="David" w:hAnsi="David" w:cs="David"/>
                <w:sz w:val="24"/>
                <w:rtl/>
              </w:rPr>
              <w:t>נו</w:t>
            </w:r>
            <w:r w:rsidRPr="000D1665">
              <w:rPr>
                <w:rFonts w:ascii="David" w:hAnsi="David" w:cs="David"/>
                <w:sz w:val="24"/>
                <w:rtl/>
              </w:rPr>
              <w:t xml:space="preserve"> שיטה מקובלת על פי תקן </w:t>
            </w:r>
            <w:r w:rsidRPr="000D1665">
              <w:rPr>
                <w:rFonts w:ascii="David" w:hAnsi="David" w:cs="David"/>
                <w:sz w:val="24"/>
              </w:rPr>
              <w:t>ISO/IEC 17011:2017</w:t>
            </w:r>
            <w:r w:rsidRPr="000D1665">
              <w:rPr>
                <w:rFonts w:ascii="David" w:hAnsi="David" w:cs="David"/>
                <w:sz w:val="24"/>
                <w:rtl/>
              </w:rPr>
              <w:t xml:space="preserve"> לפיו פועלת הרשות.</w:t>
            </w:r>
          </w:p>
          <w:p w14:paraId="5D730A5A" w14:textId="3A7CA126" w:rsidR="006C2712"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סיכון אפשרי לקיום מבדק מרוחק הנו אי השגת מטרות המבדק בצורה זהה למבדק באתר עקב העובדה שההתרשמות אינה זהה לסיור בשטח בו ניתן לראות את תמונת המצב </w:t>
            </w:r>
            <w:r w:rsidR="000017AF">
              <w:rPr>
                <w:rFonts w:ascii="David" w:hAnsi="David" w:cs="David" w:hint="cs"/>
                <w:sz w:val="24"/>
                <w:rtl/>
              </w:rPr>
              <w:t>באופן ישיר</w:t>
            </w:r>
            <w:r w:rsidRPr="000D1665">
              <w:rPr>
                <w:rFonts w:ascii="David" w:hAnsi="David" w:cs="David"/>
                <w:sz w:val="24"/>
                <w:rtl/>
              </w:rPr>
              <w:t>. על כן, המעורבים במבדק, הן מצד הרשות והן מצד הארגון, יתייחסו לסיכון זה לפני קיום המבדק ולאחריו כפי שמתואר להלן. להלן תבנית לקיום סקר הסיכונים לבחינת אפשרות ביצוע מבדק מרוחק. סקר זה ישמר לאחר מילויו בתיקיית "לפני המבדק":</w:t>
            </w:r>
          </w:p>
          <w:bookmarkStart w:id="0" w:name="_MON_1683917406"/>
          <w:bookmarkEnd w:id="0"/>
          <w:p w14:paraId="5A3F0A97" w14:textId="2DDA7BFE" w:rsidR="003A18B0" w:rsidRDefault="00D4386A" w:rsidP="003A18B0">
            <w:pPr>
              <w:pStyle w:val="ListParagraph"/>
              <w:jc w:val="both"/>
              <w:rPr>
                <w:rFonts w:ascii="David" w:hAnsi="David" w:cs="David"/>
                <w:sz w:val="24"/>
              </w:rPr>
            </w:pPr>
            <w:r>
              <w:object w:dxaOrig="1376" w:dyaOrig="893" w14:anchorId="4DDC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44.1pt" o:ole="">
                  <v:imagedata r:id="rId11" o:title=""/>
                </v:shape>
                <o:OLEObject Type="Embed" ProgID="Excel.Sheet.12" ShapeID="_x0000_i1025" DrawAspect="Icon" ObjectID="_1687596359" r:id="rId12"/>
              </w:object>
            </w:r>
          </w:p>
          <w:p w14:paraId="744E1D13" w14:textId="77777777" w:rsidR="000017AF" w:rsidRPr="003A2ED2" w:rsidRDefault="000017AF" w:rsidP="000017AF">
            <w:pPr>
              <w:jc w:val="both"/>
              <w:rPr>
                <w:rFonts w:ascii="David" w:hAnsi="David"/>
                <w:sz w:val="24"/>
              </w:rPr>
            </w:pPr>
          </w:p>
          <w:p w14:paraId="21610606" w14:textId="067B5266" w:rsidR="006C2712"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מבדק מרוחק יבוצע לאחר הסכמת הארגון, ראש האגף, ובאישור מראש של הנהלת הרשות לאחר סקירת הנסיבות </w:t>
            </w:r>
            <w:r w:rsidR="000017AF">
              <w:rPr>
                <w:rFonts w:ascii="David" w:hAnsi="David" w:cs="David" w:hint="cs"/>
                <w:sz w:val="24"/>
                <w:rtl/>
              </w:rPr>
              <w:t>ש</w:t>
            </w:r>
            <w:r w:rsidRPr="000D1665">
              <w:rPr>
                <w:rFonts w:ascii="David" w:hAnsi="David" w:cs="David"/>
                <w:sz w:val="24"/>
                <w:rtl/>
              </w:rPr>
              <w:t>הובילו לבקשה לביצוע מבדק מסוג זה. הסכמות צדדים אלו או הסבר מדוע מבדק כזה אינו מקובל יתועדו בספרית תכנון המבדק הרלוונטית. סיבות לחוסר ביצוע מבדק מסוג זה עשויות לכלול, אך אינן מוגבלות ל:</w:t>
            </w:r>
          </w:p>
          <w:p w14:paraId="7038F24B" w14:textId="77777777" w:rsidR="000017AF" w:rsidRPr="000017AF" w:rsidRDefault="000017AF" w:rsidP="000017AF">
            <w:pPr>
              <w:jc w:val="both"/>
              <w:rPr>
                <w:rFonts w:ascii="David" w:hAnsi="David"/>
                <w:sz w:val="24"/>
              </w:rPr>
            </w:pPr>
          </w:p>
          <w:p w14:paraId="2230DA2A" w14:textId="2851F7E9" w:rsidR="006C2712" w:rsidRDefault="006C2712" w:rsidP="005976FE">
            <w:pPr>
              <w:pStyle w:val="ListParagraph"/>
              <w:numPr>
                <w:ilvl w:val="0"/>
                <w:numId w:val="7"/>
              </w:numPr>
              <w:jc w:val="both"/>
              <w:rPr>
                <w:rFonts w:ascii="David" w:hAnsi="David" w:cs="David"/>
                <w:sz w:val="24"/>
              </w:rPr>
            </w:pPr>
            <w:r w:rsidRPr="000D1665">
              <w:rPr>
                <w:rFonts w:ascii="David" w:hAnsi="David" w:cs="David"/>
                <w:sz w:val="24"/>
                <w:rtl/>
              </w:rPr>
              <w:t>חוות דעת הבודק המקצועי כי לא ניתן לבחון את התנהלות המעבדה בטכנולוגיה הנבדקת תחת המגבלות הנובעות מאופי מבדק מרוחק.</w:t>
            </w:r>
          </w:p>
          <w:p w14:paraId="6BA065DB" w14:textId="38785248" w:rsidR="000017AF" w:rsidRDefault="000017AF" w:rsidP="000017AF">
            <w:pPr>
              <w:pStyle w:val="ListParagraph"/>
              <w:ind w:left="1080"/>
              <w:jc w:val="both"/>
              <w:rPr>
                <w:rFonts w:ascii="David" w:hAnsi="David" w:cs="David"/>
                <w:sz w:val="24"/>
              </w:rPr>
            </w:pPr>
          </w:p>
          <w:p w14:paraId="7AF9666D" w14:textId="77777777" w:rsidR="000017AF" w:rsidRPr="000D1665" w:rsidRDefault="000017AF" w:rsidP="000017AF">
            <w:pPr>
              <w:pStyle w:val="ListParagraph"/>
              <w:ind w:left="1080"/>
              <w:jc w:val="both"/>
              <w:rPr>
                <w:rFonts w:ascii="David" w:hAnsi="David" w:cs="David"/>
                <w:sz w:val="24"/>
              </w:rPr>
            </w:pPr>
          </w:p>
          <w:p w14:paraId="145A6636" w14:textId="6856B7EB" w:rsidR="000017AF" w:rsidRPr="000017AF" w:rsidRDefault="006C2712" w:rsidP="005976FE">
            <w:pPr>
              <w:pStyle w:val="ListParagraph"/>
              <w:numPr>
                <w:ilvl w:val="0"/>
                <w:numId w:val="7"/>
              </w:numPr>
              <w:jc w:val="both"/>
              <w:rPr>
                <w:rFonts w:ascii="David" w:hAnsi="David" w:cs="David"/>
                <w:sz w:val="24"/>
              </w:rPr>
            </w:pPr>
            <w:r w:rsidRPr="000D1665">
              <w:rPr>
                <w:rFonts w:ascii="David" w:hAnsi="David" w:cs="David"/>
                <w:sz w:val="24"/>
                <w:rtl/>
              </w:rPr>
              <w:t>חוות דעת ראש האגף כי התנהלות הארגון בעבר באופן ספציפי לטכנולוגיה הנבדקת או באופן כללי או מורכבות השיטה/הטכנולוגיה הנבדקת אינם מאפשרים ביצוע מבדק מרוחק.</w:t>
            </w:r>
          </w:p>
          <w:p w14:paraId="55D082C6" w14:textId="7EA324FB" w:rsidR="006C2712" w:rsidRPr="00C450B6" w:rsidRDefault="006C2712" w:rsidP="005976FE">
            <w:pPr>
              <w:pStyle w:val="ListParagraph"/>
              <w:numPr>
                <w:ilvl w:val="0"/>
                <w:numId w:val="7"/>
              </w:numPr>
              <w:jc w:val="both"/>
              <w:rPr>
                <w:rFonts w:ascii="David" w:hAnsi="David" w:cs="David"/>
                <w:sz w:val="24"/>
                <w:rtl/>
              </w:rPr>
            </w:pPr>
            <w:r w:rsidRPr="00C450B6">
              <w:rPr>
                <w:rFonts w:ascii="David" w:hAnsi="David" w:cs="David"/>
                <w:sz w:val="24"/>
                <w:rtl/>
              </w:rPr>
              <w:t xml:space="preserve">קביעה של הנהלת הרשות כי תחת התנאים המתוארים אין הצדקה לביצוע מבדק מרחוק </w:t>
            </w:r>
            <w:r w:rsidRPr="00C450B6">
              <w:rPr>
                <w:rFonts w:ascii="David" w:hAnsi="David" w:cs="David"/>
                <w:sz w:val="24"/>
                <w:rtl/>
              </w:rPr>
              <w:lastRenderedPageBreak/>
              <w:t>או כי ישנה סיבה אחרת המונעת ביצוע מבדק כז</w:t>
            </w:r>
            <w:r w:rsidR="00C450B6">
              <w:rPr>
                <w:rFonts w:ascii="David" w:hAnsi="David" w:cs="David" w:hint="cs"/>
                <w:sz w:val="24"/>
                <w:rtl/>
              </w:rPr>
              <w:t>ה.</w:t>
            </w:r>
            <w:r w:rsidRPr="00C450B6">
              <w:rPr>
                <w:rFonts w:ascii="David" w:hAnsi="David" w:cs="David"/>
                <w:sz w:val="24"/>
              </w:rPr>
              <w:t xml:space="preserve"> </w:t>
            </w:r>
          </w:p>
          <w:p w14:paraId="11A75B54" w14:textId="4C523DCC" w:rsidR="00546956" w:rsidRPr="00C450B6" w:rsidRDefault="0661498A" w:rsidP="005976FE">
            <w:pPr>
              <w:pStyle w:val="ListParagraph"/>
              <w:numPr>
                <w:ilvl w:val="0"/>
                <w:numId w:val="7"/>
              </w:numPr>
              <w:jc w:val="both"/>
              <w:rPr>
                <w:rFonts w:ascii="David" w:hAnsi="David" w:cs="David"/>
                <w:sz w:val="24"/>
              </w:rPr>
            </w:pPr>
            <w:r w:rsidRPr="00C450B6">
              <w:rPr>
                <w:rFonts w:ascii="David" w:hAnsi="David" w:cs="David"/>
                <w:sz w:val="24"/>
                <w:rtl/>
              </w:rPr>
              <w:t>חוסר היכולת של הארגון לבסס תנאים מתאימים למבדק מרוחק בסביבת העבודה הנבדקת.</w:t>
            </w:r>
          </w:p>
          <w:p w14:paraId="3B35C3F7" w14:textId="05D6D17C" w:rsidR="006C2712" w:rsidRPr="000D1665"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במידה ורק במהלך המבדק מתגלה כי לא ניתן לעמוד בדרישת </w:t>
            </w:r>
            <w:r w:rsidR="0047338E">
              <w:rPr>
                <w:rFonts w:ascii="David" w:hAnsi="David" w:cs="David" w:hint="cs"/>
                <w:sz w:val="24"/>
                <w:rtl/>
              </w:rPr>
              <w:t>משרד הבריאות</w:t>
            </w:r>
            <w:r w:rsidRPr="000D1665">
              <w:rPr>
                <w:rFonts w:ascii="David" w:hAnsi="David" w:cs="David"/>
                <w:sz w:val="24"/>
                <w:rtl/>
              </w:rPr>
              <w:t xml:space="preserve"> מבחינת מספר אנשים ושמירת מרחק באחד מאזורי העבודה בהם מתקיים המבדק יש לעצור ולבצע הערכת מצב מחודשת. יש להיוועץ בסמנכ"ל הסמכה או נציג הנהלה (לנהוג כמו במקרה של בקשה להפסקת מבדק) ניתן לשקול קיום חלק מהמבדק באופן מקוון כאשר הנבדק מציג את הנעשה בשטח באמצעי וידאו לבקשת הבודק המקצועי היושב בחדר נפרד.</w:t>
            </w:r>
          </w:p>
          <w:p w14:paraId="18ABB300" w14:textId="4ECDE092" w:rsidR="006C2712"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במידה וישנה הסכמה הנתמכת בסקר הסיכונים על </w:t>
            </w:r>
            <w:r w:rsidR="00153F64" w:rsidRPr="000D1665">
              <w:rPr>
                <w:rFonts w:ascii="David" w:hAnsi="David" w:cs="David"/>
                <w:sz w:val="24"/>
                <w:rtl/>
              </w:rPr>
              <w:t>קיום</w:t>
            </w:r>
            <w:r w:rsidRPr="000D1665">
              <w:rPr>
                <w:rFonts w:ascii="David" w:hAnsi="David" w:cs="David"/>
                <w:sz w:val="24"/>
                <w:rtl/>
              </w:rPr>
              <w:t xml:space="preserve"> מבדק מרוחק, יש לעדכן את תכנית המבדק בהתאם. קרי בטבלת "פעילויות של המבדק ולוח זמנים" יש לציין בהערות כי הבדיקות המתוארות מבוצע</w:t>
            </w:r>
            <w:r w:rsidR="00153F64" w:rsidRPr="000D1665">
              <w:rPr>
                <w:rFonts w:ascii="David" w:hAnsi="David" w:cs="David"/>
                <w:sz w:val="24"/>
                <w:rtl/>
              </w:rPr>
              <w:t>ו</w:t>
            </w:r>
            <w:r w:rsidRPr="000D1665">
              <w:rPr>
                <w:rFonts w:ascii="David" w:hAnsi="David" w:cs="David"/>
                <w:sz w:val="24"/>
                <w:rtl/>
              </w:rPr>
              <w:t>ת במבדק מרוחק והסיבות לביצוע המבדק בצורה זו.</w:t>
            </w:r>
          </w:p>
          <w:p w14:paraId="4B2D2A63" w14:textId="693663F7" w:rsidR="000017AF" w:rsidRDefault="000017AF" w:rsidP="000017AF">
            <w:pPr>
              <w:pStyle w:val="ListParagraph"/>
              <w:jc w:val="both"/>
              <w:rPr>
                <w:rFonts w:ascii="David" w:hAnsi="David" w:cs="David"/>
                <w:sz w:val="24"/>
              </w:rPr>
            </w:pPr>
          </w:p>
          <w:p w14:paraId="66A5ECC5" w14:textId="77777777" w:rsidR="000017AF" w:rsidRPr="000D1665" w:rsidRDefault="000017AF" w:rsidP="000017AF">
            <w:pPr>
              <w:pStyle w:val="ListParagraph"/>
              <w:jc w:val="both"/>
              <w:rPr>
                <w:rFonts w:ascii="David" w:hAnsi="David" w:cs="David"/>
                <w:sz w:val="24"/>
              </w:rPr>
            </w:pPr>
          </w:p>
          <w:p w14:paraId="0DFEB96E" w14:textId="6101F9BE" w:rsidR="006C2712"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יש לקבל אישור מהארגון והבודקים המקצועיים על אופי המבדק. על האישור לכלול פירוט של הטכנולוגיות אשר יבדקו במבדק מרוחק, או אמירה כללית על המבדק במידה וכולו נעשה בצורה זו. הודעות דואר המאשרות את הנושא או אישור של תכנית המבדק על ידי מורשה חתימה בארגון </w:t>
            </w:r>
            <w:r w:rsidR="00153F64" w:rsidRPr="000D1665">
              <w:rPr>
                <w:rFonts w:ascii="David" w:hAnsi="David" w:cs="David"/>
                <w:sz w:val="24"/>
                <w:rtl/>
              </w:rPr>
              <w:t>תתוייקנה</w:t>
            </w:r>
            <w:r w:rsidRPr="000D1665">
              <w:rPr>
                <w:rFonts w:ascii="David" w:hAnsi="David" w:cs="David"/>
                <w:sz w:val="24"/>
                <w:rtl/>
              </w:rPr>
              <w:t xml:space="preserve"> בתיקי</w:t>
            </w:r>
            <w:r w:rsidR="00546956">
              <w:rPr>
                <w:rFonts w:ascii="David" w:hAnsi="David" w:cs="David" w:hint="cs"/>
                <w:sz w:val="24"/>
                <w:rtl/>
              </w:rPr>
              <w:t>י</w:t>
            </w:r>
            <w:r w:rsidRPr="000D1665">
              <w:rPr>
                <w:rFonts w:ascii="David" w:hAnsi="David" w:cs="David"/>
                <w:sz w:val="24"/>
                <w:rtl/>
              </w:rPr>
              <w:t xml:space="preserve">ת </w:t>
            </w:r>
            <w:r w:rsidR="000017AF">
              <w:rPr>
                <w:rFonts w:ascii="David" w:hAnsi="David" w:cs="David" w:hint="cs"/>
                <w:sz w:val="24"/>
                <w:rtl/>
              </w:rPr>
              <w:t xml:space="preserve">הארגון </w:t>
            </w:r>
            <w:r w:rsidRPr="000D1665">
              <w:rPr>
                <w:rFonts w:ascii="David" w:hAnsi="David" w:cs="David"/>
                <w:sz w:val="24"/>
                <w:rtl/>
              </w:rPr>
              <w:t>הרלוונטי</w:t>
            </w:r>
            <w:r w:rsidR="00546956">
              <w:rPr>
                <w:rFonts w:ascii="David" w:hAnsi="David" w:cs="David" w:hint="cs"/>
                <w:sz w:val="24"/>
                <w:rtl/>
              </w:rPr>
              <w:t>ת</w:t>
            </w:r>
            <w:r w:rsidRPr="000D1665">
              <w:rPr>
                <w:rFonts w:ascii="David" w:hAnsi="David" w:cs="David"/>
                <w:sz w:val="24"/>
                <w:rtl/>
              </w:rPr>
              <w:t>.</w:t>
            </w:r>
          </w:p>
          <w:p w14:paraId="71BDD830" w14:textId="1B1BA3F3" w:rsidR="000017AF" w:rsidRDefault="000017AF" w:rsidP="000017AF">
            <w:pPr>
              <w:pStyle w:val="ListParagraph"/>
              <w:jc w:val="both"/>
              <w:rPr>
                <w:rFonts w:ascii="David" w:hAnsi="David" w:cs="David"/>
                <w:sz w:val="24"/>
                <w:rtl/>
              </w:rPr>
            </w:pPr>
          </w:p>
          <w:p w14:paraId="0E6D5428" w14:textId="77777777" w:rsidR="000017AF" w:rsidRPr="000D1665" w:rsidRDefault="000017AF" w:rsidP="000017AF">
            <w:pPr>
              <w:pStyle w:val="ListParagraph"/>
              <w:jc w:val="both"/>
              <w:rPr>
                <w:rFonts w:ascii="David" w:hAnsi="David" w:cs="David"/>
                <w:sz w:val="24"/>
              </w:rPr>
            </w:pPr>
          </w:p>
          <w:p w14:paraId="5381BB6B" w14:textId="255283B9" w:rsidR="000017AF"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על הארגון לבחון את יעילות התקשורת, שמירת הסודיות והיכולת לבצע מבדק וידאו ספציפית באתרים בהם מבוצעת הפעילות הנסקרת (קרי, גישה לתוכנת התקשורת עליה הוסכם על מחשב המצויד במצלמה </w:t>
            </w:r>
            <w:r w:rsidR="007B6F15" w:rsidRPr="000D1665">
              <w:rPr>
                <w:rFonts w:ascii="David" w:hAnsi="David" w:cs="David"/>
                <w:sz w:val="24"/>
                <w:rtl/>
              </w:rPr>
              <w:t xml:space="preserve">ומיקרופון </w:t>
            </w:r>
            <w:r w:rsidRPr="000D1665">
              <w:rPr>
                <w:rFonts w:ascii="David" w:hAnsi="David" w:cs="David"/>
                <w:sz w:val="24"/>
                <w:rtl/>
              </w:rPr>
              <w:t>או טלפון נייד וכי חוזק האות של הרשת האלחוטית מתאים). על סמך בדיקה זו יוחלט יחד עם הבודק המוביל והבודקים המקצועיים באילו מתוכנות התקשורת יעשה שימוש לשם ביצוע המבדק.</w:t>
            </w:r>
          </w:p>
          <w:p w14:paraId="69941A02" w14:textId="5C676E92" w:rsidR="000017AF" w:rsidRDefault="000017AF" w:rsidP="000017AF">
            <w:pPr>
              <w:pStyle w:val="ListParagraph"/>
              <w:jc w:val="both"/>
              <w:rPr>
                <w:rFonts w:ascii="David" w:hAnsi="David" w:cs="David"/>
                <w:sz w:val="24"/>
              </w:rPr>
            </w:pPr>
          </w:p>
          <w:p w14:paraId="0709B4B4" w14:textId="77777777" w:rsidR="00546956" w:rsidRPr="000017AF" w:rsidRDefault="00546956" w:rsidP="000017AF">
            <w:pPr>
              <w:pStyle w:val="ListParagraph"/>
              <w:jc w:val="both"/>
              <w:rPr>
                <w:rFonts w:ascii="David" w:hAnsi="David" w:cs="David"/>
                <w:sz w:val="24"/>
              </w:rPr>
            </w:pPr>
          </w:p>
          <w:p w14:paraId="3C132535" w14:textId="515DDE39" w:rsidR="00546956" w:rsidRPr="00C450B6" w:rsidRDefault="006C2712" w:rsidP="00C450B6">
            <w:pPr>
              <w:pStyle w:val="ListParagraph"/>
              <w:numPr>
                <w:ilvl w:val="0"/>
                <w:numId w:val="6"/>
              </w:numPr>
              <w:jc w:val="both"/>
              <w:rPr>
                <w:rFonts w:ascii="David" w:hAnsi="David" w:cs="David"/>
                <w:sz w:val="24"/>
              </w:rPr>
            </w:pPr>
            <w:r w:rsidRPr="00C450B6">
              <w:rPr>
                <w:rFonts w:ascii="David" w:hAnsi="David" w:cs="David"/>
                <w:sz w:val="24"/>
                <w:rtl/>
              </w:rPr>
              <w:t>במידה וישנו קושי בביצוע מבדק וידאו</w:t>
            </w:r>
            <w:r w:rsidR="76837885" w:rsidRPr="00C450B6">
              <w:rPr>
                <w:rFonts w:ascii="David" w:hAnsi="David" w:cs="David"/>
                <w:sz w:val="24"/>
                <w:rtl/>
              </w:rPr>
              <w:t xml:space="preserve"> </w:t>
            </w:r>
            <w:r w:rsidR="003A2ED2">
              <w:rPr>
                <w:rFonts w:ascii="David" w:hAnsi="David" w:cs="David" w:hint="cs"/>
                <w:sz w:val="24"/>
                <w:rtl/>
              </w:rPr>
              <w:t xml:space="preserve">בשידור </w:t>
            </w:r>
            <w:r w:rsidR="76837885" w:rsidRPr="00C450B6">
              <w:rPr>
                <w:rFonts w:ascii="David" w:hAnsi="David" w:cs="David"/>
                <w:sz w:val="24"/>
                <w:rtl/>
              </w:rPr>
              <w:t>חי</w:t>
            </w:r>
            <w:r w:rsidRPr="00C450B6">
              <w:rPr>
                <w:rFonts w:ascii="David" w:hAnsi="David" w:cs="David"/>
                <w:sz w:val="24"/>
                <w:rtl/>
              </w:rPr>
              <w:t xml:space="preserve"> יש לבחון אפשרות לשליח</w:t>
            </w:r>
            <w:r w:rsidR="00546956" w:rsidRPr="00C450B6">
              <w:rPr>
                <w:rFonts w:ascii="David" w:hAnsi="David" w:cs="David"/>
                <w:sz w:val="24"/>
                <w:rtl/>
              </w:rPr>
              <w:t>ה</w:t>
            </w:r>
            <w:r w:rsidR="00546956" w:rsidRPr="00C450B6">
              <w:rPr>
                <w:rFonts w:ascii="David" w:hAnsi="David" w:cs="David"/>
                <w:sz w:val="24"/>
              </w:rPr>
              <w:t xml:space="preserve"> </w:t>
            </w:r>
            <w:r w:rsidRPr="00C450B6">
              <w:rPr>
                <w:rFonts w:ascii="David" w:hAnsi="David" w:cs="David"/>
                <w:sz w:val="24"/>
              </w:rPr>
              <w:t xml:space="preserve">off line </w:t>
            </w:r>
            <w:r w:rsidRPr="00C450B6">
              <w:rPr>
                <w:rFonts w:ascii="David" w:hAnsi="David" w:cs="David"/>
                <w:sz w:val="24"/>
                <w:rtl/>
              </w:rPr>
              <w:t xml:space="preserve">של </w:t>
            </w:r>
            <w:r w:rsidR="00546956" w:rsidRPr="00C450B6">
              <w:rPr>
                <w:rFonts w:ascii="David" w:hAnsi="David" w:cs="David"/>
                <w:sz w:val="24"/>
                <w:rtl/>
              </w:rPr>
              <w:t xml:space="preserve">סרטונים המציגים את </w:t>
            </w:r>
            <w:r w:rsidRPr="00C450B6">
              <w:rPr>
                <w:rFonts w:ascii="David" w:hAnsi="David" w:cs="David"/>
                <w:sz w:val="24"/>
                <w:rtl/>
              </w:rPr>
              <w:t xml:space="preserve">ביצוע </w:t>
            </w:r>
            <w:r w:rsidR="00546956" w:rsidRPr="00C450B6">
              <w:rPr>
                <w:rFonts w:ascii="David" w:hAnsi="David" w:cs="David"/>
                <w:sz w:val="24"/>
                <w:rtl/>
              </w:rPr>
              <w:t>הבדיקות</w:t>
            </w:r>
            <w:r w:rsidRPr="00C450B6">
              <w:rPr>
                <w:rFonts w:ascii="David" w:hAnsi="David" w:cs="David"/>
                <w:sz w:val="24"/>
                <w:rtl/>
              </w:rPr>
              <w:t xml:space="preserve"> </w:t>
            </w:r>
            <w:r w:rsidR="00546956" w:rsidRPr="00C450B6">
              <w:rPr>
                <w:rFonts w:ascii="David" w:hAnsi="David" w:cs="David"/>
                <w:sz w:val="24"/>
                <w:rtl/>
              </w:rPr>
              <w:t>א</w:t>
            </w:r>
            <w:r w:rsidRPr="00C450B6">
              <w:rPr>
                <w:rFonts w:ascii="David" w:hAnsi="David" w:cs="David"/>
                <w:sz w:val="24"/>
                <w:rtl/>
              </w:rPr>
              <w:t>ל</w:t>
            </w:r>
            <w:r w:rsidR="00546956" w:rsidRPr="00C450B6">
              <w:rPr>
                <w:rFonts w:ascii="David" w:hAnsi="David" w:cs="David"/>
                <w:sz w:val="24"/>
                <w:rtl/>
              </w:rPr>
              <w:t xml:space="preserve"> ה</w:t>
            </w:r>
            <w:r w:rsidRPr="00C450B6">
              <w:rPr>
                <w:rFonts w:ascii="David" w:hAnsi="David" w:cs="David"/>
                <w:sz w:val="24"/>
                <w:rtl/>
              </w:rPr>
              <w:t>בודק המקצועי</w:t>
            </w:r>
            <w:r w:rsidRPr="00C450B6">
              <w:rPr>
                <w:rFonts w:ascii="David" w:hAnsi="David" w:cs="David"/>
                <w:sz w:val="24"/>
              </w:rPr>
              <w:t>.</w:t>
            </w:r>
          </w:p>
          <w:p w14:paraId="5DAD3E31" w14:textId="45874589" w:rsidR="006C2712" w:rsidRDefault="006C2712" w:rsidP="005976FE">
            <w:pPr>
              <w:pStyle w:val="ListParagraph"/>
              <w:numPr>
                <w:ilvl w:val="0"/>
                <w:numId w:val="6"/>
              </w:numPr>
              <w:jc w:val="both"/>
              <w:rPr>
                <w:rFonts w:ascii="David" w:hAnsi="David" w:cs="David"/>
                <w:sz w:val="24"/>
              </w:rPr>
            </w:pPr>
            <w:r w:rsidRPr="000D1665">
              <w:rPr>
                <w:rFonts w:ascii="David" w:hAnsi="David" w:cs="David"/>
                <w:sz w:val="24"/>
                <w:rtl/>
              </w:rPr>
              <w:t>הבודק המוביל במבדק ישלח מייל עם תכנית המבדק המפרט את התוכנה, יחד עם פרטי ההתקשרות של המשתתפים וביניהם מנהל האיכות בארגון, צוות הארגון הרלוונטי למבדק, הבודקים המקצועיים, הבודק המוביל וראש האגף. במידה והתוכנה משתמשת במספרי טלפון/כתובות דוא"ל לזיהוי, אלו ישלחו לכל הצדדים הנוגעים בדבר. אישור מהבודקים ומהארגון למייל זה יתויק בספריית תכנון המבדק הרלוונטית.</w:t>
            </w:r>
          </w:p>
          <w:p w14:paraId="71836618" w14:textId="77777777" w:rsidR="00546956" w:rsidRPr="000D1665" w:rsidRDefault="00546956" w:rsidP="00546956">
            <w:pPr>
              <w:pStyle w:val="ListParagraph"/>
              <w:jc w:val="both"/>
              <w:rPr>
                <w:rFonts w:ascii="David" w:hAnsi="David" w:cs="David"/>
                <w:sz w:val="24"/>
              </w:rPr>
            </w:pPr>
          </w:p>
          <w:p w14:paraId="300A4CF9" w14:textId="7D94C9EC" w:rsidR="009C7803" w:rsidRPr="009C7803" w:rsidRDefault="006C2712" w:rsidP="009C7803">
            <w:pPr>
              <w:pStyle w:val="ListParagraph"/>
              <w:numPr>
                <w:ilvl w:val="0"/>
                <w:numId w:val="6"/>
              </w:numPr>
              <w:jc w:val="both"/>
              <w:rPr>
                <w:rFonts w:ascii="David" w:hAnsi="David" w:cs="David"/>
                <w:sz w:val="24"/>
              </w:rPr>
            </w:pPr>
            <w:r w:rsidRPr="000D1665">
              <w:rPr>
                <w:rFonts w:ascii="David" w:hAnsi="David" w:cs="David"/>
                <w:sz w:val="24"/>
                <w:rtl/>
              </w:rPr>
              <w:t xml:space="preserve">לפני המבדק יש לבדוק את איכות התקשורת בשיחה קצרה בין הבודק המקצועי לנבדק הרלוונטי בארגון </w:t>
            </w:r>
            <w:r w:rsidRPr="000D1665">
              <w:rPr>
                <w:rFonts w:ascii="David" w:hAnsi="David" w:cs="David"/>
                <w:b/>
                <w:bCs/>
                <w:sz w:val="24"/>
                <w:rtl/>
              </w:rPr>
              <w:t>באתר ביצוע הבדיקה</w:t>
            </w:r>
            <w:r w:rsidRPr="000D1665">
              <w:rPr>
                <w:rFonts w:ascii="David" w:hAnsi="David" w:cs="David"/>
                <w:sz w:val="24"/>
                <w:rtl/>
              </w:rPr>
              <w:t xml:space="preserve"> וזאת על מנת לוודא תקשורת תקינה ולזהות בעיות אצל מי מהצדדים לפני ביצוע המבדק.</w:t>
            </w:r>
          </w:p>
          <w:p w14:paraId="39C25FFA" w14:textId="77777777" w:rsidR="00153F64" w:rsidRPr="000D1665" w:rsidRDefault="00153F64" w:rsidP="000D1665">
            <w:pPr>
              <w:pStyle w:val="ListParagraph"/>
              <w:jc w:val="both"/>
              <w:rPr>
                <w:rFonts w:ascii="David" w:hAnsi="David" w:cs="David"/>
                <w:sz w:val="24"/>
              </w:rPr>
            </w:pPr>
          </w:p>
          <w:p w14:paraId="363588BA" w14:textId="5FC5358E" w:rsidR="002D627B"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כחלק מהכנתם למבדק, ירכיבו בודקי הרשות רשימת מסמכים אותם הם מבקשים לראות (כגון הרשאות עובדים, דוחות כיול ובידוקי ביניים, חומרי ייחוס, בקרות בתהליך השוואה בין עובדים, תוצאות מבחני </w:t>
            </w:r>
            <w:r w:rsidRPr="000D1665">
              <w:rPr>
                <w:rFonts w:ascii="David" w:hAnsi="David" w:cs="David"/>
                <w:sz w:val="24"/>
              </w:rPr>
              <w:t>PT</w:t>
            </w:r>
            <w:r w:rsidRPr="000D1665">
              <w:rPr>
                <w:rFonts w:ascii="David" w:hAnsi="David" w:cs="David"/>
                <w:sz w:val="24"/>
                <w:rtl/>
              </w:rPr>
              <w:t xml:space="preserve"> או כל מסמך אחר המשקף את התאמת פעילות הארגון לדרישות התקן). רשימה זו תישלח לארגון אשר ישלח מסמכים אלו לפני מועד המבדק. </w:t>
            </w:r>
            <w:r w:rsidRPr="000D1665">
              <w:rPr>
                <w:rFonts w:ascii="David" w:hAnsi="David" w:cs="David"/>
                <w:sz w:val="24"/>
                <w:u w:val="single"/>
                <w:rtl/>
              </w:rPr>
              <w:t>שליחת מסמכים זו אינה פוטרת משליחת מסמכים על פי בקשה בעת המבדק</w:t>
            </w:r>
            <w:r w:rsidRPr="000D1665">
              <w:rPr>
                <w:rFonts w:ascii="David" w:hAnsi="David" w:cs="David"/>
                <w:sz w:val="24"/>
                <w:rtl/>
              </w:rPr>
              <w:t xml:space="preserve"> אלא באה להקל ולייעל את מהלך המבדק ואולי אף לקצרו. יש לבקש מהמעבדה ככל האפשר את המסמכים מראש, תשומת לב מיוחדת </w:t>
            </w:r>
            <w:r w:rsidR="00546956">
              <w:rPr>
                <w:rFonts w:ascii="David" w:hAnsi="David" w:cs="David" w:hint="cs"/>
                <w:sz w:val="24"/>
                <w:rtl/>
              </w:rPr>
              <w:t xml:space="preserve">תינתן </w:t>
            </w:r>
            <w:r w:rsidRPr="000D1665">
              <w:rPr>
                <w:rFonts w:ascii="David" w:hAnsi="David" w:cs="David"/>
                <w:sz w:val="24"/>
                <w:rtl/>
              </w:rPr>
              <w:t xml:space="preserve">למסמכים מרשימת התיוג </w:t>
            </w:r>
            <w:r w:rsidRPr="000D1665">
              <w:rPr>
                <w:rFonts w:ascii="David" w:hAnsi="David" w:cs="David"/>
                <w:sz w:val="24"/>
              </w:rPr>
              <w:t>T1-000014-03</w:t>
            </w:r>
            <w:r w:rsidRPr="000D1665">
              <w:rPr>
                <w:rFonts w:ascii="David" w:hAnsi="David" w:cs="David"/>
                <w:sz w:val="24"/>
                <w:rtl/>
              </w:rPr>
              <w:t>. מסמכים נוספים לשיקול דעת</w:t>
            </w:r>
            <w:r w:rsidR="002D627B">
              <w:rPr>
                <w:rFonts w:ascii="David" w:hAnsi="David" w:cs="David" w:hint="cs"/>
                <w:sz w:val="24"/>
                <w:rtl/>
              </w:rPr>
              <w:t>,</w:t>
            </w:r>
            <w:r w:rsidRPr="000D1665">
              <w:rPr>
                <w:rFonts w:ascii="David" w:hAnsi="David" w:cs="David"/>
                <w:sz w:val="24"/>
                <w:rtl/>
              </w:rPr>
              <w:t xml:space="preserve"> </w:t>
            </w:r>
            <w:r w:rsidR="00805D4E" w:rsidRPr="000D1665">
              <w:rPr>
                <w:rFonts w:ascii="David" w:hAnsi="David" w:cs="David"/>
                <w:sz w:val="24"/>
                <w:rtl/>
              </w:rPr>
              <w:t>ראה נספח 2</w:t>
            </w:r>
            <w:r w:rsidR="002D627B">
              <w:rPr>
                <w:rFonts w:ascii="David" w:hAnsi="David" w:cs="David" w:hint="cs"/>
                <w:sz w:val="24"/>
                <w:rtl/>
              </w:rPr>
              <w:t xml:space="preserve"> (</w:t>
            </w:r>
            <w:r w:rsidR="002D627B" w:rsidRPr="000D1665">
              <w:rPr>
                <w:rFonts w:ascii="David" w:hAnsi="David" w:cs="David"/>
                <w:sz w:val="24"/>
                <w:rtl/>
              </w:rPr>
              <w:t>יש להדגיש כי זו אינה רשימה סגורה ומסמכות הבודקים לבקש מסמכים נוספים רלוונטיים לתחום הבדיקה, ככל שנדרש</w:t>
            </w:r>
            <w:r w:rsidR="002D627B">
              <w:rPr>
                <w:rFonts w:ascii="David" w:hAnsi="David" w:cs="David" w:hint="cs"/>
                <w:sz w:val="24"/>
                <w:rtl/>
              </w:rPr>
              <w:t>).</w:t>
            </w:r>
          </w:p>
          <w:p w14:paraId="5E520AE5" w14:textId="77777777" w:rsidR="002D627B" w:rsidRPr="002D627B" w:rsidRDefault="002D627B" w:rsidP="002D627B">
            <w:pPr>
              <w:pStyle w:val="ListParagraph"/>
              <w:rPr>
                <w:rFonts w:ascii="David" w:hAnsi="David" w:cs="David"/>
                <w:sz w:val="24"/>
                <w:rtl/>
              </w:rPr>
            </w:pPr>
          </w:p>
          <w:p w14:paraId="118E111C" w14:textId="77777777" w:rsidR="009C7803" w:rsidRPr="003A2ED2" w:rsidRDefault="009C7803" w:rsidP="000D1665">
            <w:pPr>
              <w:jc w:val="both"/>
              <w:rPr>
                <w:rFonts w:ascii="David" w:hAnsi="David"/>
                <w:sz w:val="24"/>
                <w:rtl/>
              </w:rPr>
            </w:pPr>
          </w:p>
          <w:p w14:paraId="1F1837A7" w14:textId="77777777" w:rsidR="002D627B" w:rsidRPr="000D1665" w:rsidRDefault="002D627B" w:rsidP="000D1665">
            <w:pPr>
              <w:pStyle w:val="ListParagraph"/>
              <w:jc w:val="both"/>
              <w:rPr>
                <w:rFonts w:ascii="David" w:hAnsi="David" w:cs="David"/>
                <w:sz w:val="24"/>
              </w:rPr>
            </w:pPr>
          </w:p>
          <w:p w14:paraId="4CB857F8" w14:textId="774D37F7" w:rsidR="009C7803" w:rsidRPr="003A2ED2" w:rsidRDefault="006C2712" w:rsidP="003A2ED2">
            <w:pPr>
              <w:pStyle w:val="ListParagraph"/>
              <w:numPr>
                <w:ilvl w:val="0"/>
                <w:numId w:val="6"/>
              </w:numPr>
              <w:jc w:val="both"/>
              <w:rPr>
                <w:rFonts w:ascii="David" w:hAnsi="David" w:cs="David"/>
                <w:sz w:val="24"/>
              </w:rPr>
            </w:pPr>
            <w:r w:rsidRPr="000D1665">
              <w:rPr>
                <w:rFonts w:ascii="David" w:hAnsi="David" w:cs="David"/>
                <w:sz w:val="24"/>
                <w:rtl/>
              </w:rPr>
              <w:t>במהלך המבדק יש לשלוח את הקבצים דרך המייל בלבד. שליחה בערוצים אחרים עלולה לגרום לשמירת מסמכים ע"י הבודקים שלא ביודעין. בכל מקרה אין להקליט/לצלם את מהלך המבדק ללא הסכמה של הנבדק.</w:t>
            </w:r>
          </w:p>
          <w:p w14:paraId="29C6A252" w14:textId="6868F6C3" w:rsidR="00805D4E"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במקרה של הפרעה לא מתוכננת (טכנית או אחרת) במהלך המבדק יש לנסות להתחבר מחדש. במידה והחיבור עדיין אינו תקין יש לשקול </w:t>
            </w:r>
            <w:r w:rsidR="009C7803">
              <w:rPr>
                <w:rFonts w:ascii="David" w:hAnsi="David" w:cs="David" w:hint="cs"/>
                <w:sz w:val="24"/>
                <w:rtl/>
              </w:rPr>
              <w:t xml:space="preserve">חלופות </w:t>
            </w:r>
            <w:r w:rsidRPr="000D1665">
              <w:rPr>
                <w:rFonts w:ascii="David" w:hAnsi="David" w:cs="David"/>
                <w:sz w:val="24"/>
                <w:rtl/>
              </w:rPr>
              <w:t>לקי</w:t>
            </w:r>
            <w:r w:rsidR="002D627B">
              <w:rPr>
                <w:rFonts w:ascii="David" w:hAnsi="David" w:cs="David" w:hint="cs"/>
                <w:sz w:val="24"/>
                <w:rtl/>
              </w:rPr>
              <w:t>ו</w:t>
            </w:r>
            <w:r w:rsidRPr="000D1665">
              <w:rPr>
                <w:rFonts w:ascii="David" w:hAnsi="David" w:cs="David"/>
                <w:sz w:val="24"/>
                <w:rtl/>
              </w:rPr>
              <w:t>ם המבדק (תמונה, שיחת טלפון רגילה וכד'). במידת הצורך יש להחליט יחד עם הנבדק על זימון מחדש של המבדק עד לפתרון הבעיה.</w:t>
            </w:r>
          </w:p>
          <w:p w14:paraId="1DCF96BF" w14:textId="77777777" w:rsidR="003A2ED2" w:rsidRPr="002D627B" w:rsidRDefault="003A2ED2" w:rsidP="003A2ED2">
            <w:pPr>
              <w:pStyle w:val="ListParagraph"/>
              <w:jc w:val="both"/>
              <w:rPr>
                <w:rFonts w:ascii="David" w:hAnsi="David" w:cs="David"/>
                <w:sz w:val="24"/>
              </w:rPr>
            </w:pPr>
          </w:p>
          <w:p w14:paraId="54FD2B2A" w14:textId="338A37C1" w:rsidR="00805D4E" w:rsidRPr="002D627B"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שיחת פתיחה: מתכונת שיחת הפתיחה אינה משתנה במבדק מרוחק. נדרשת, כמו גם במבדק רגיל, הקפדה על קיום מפגש פורמלי בנוכחות מרחוק של הבודקים ונציגי המעבדה, בו יזוהו פערים או קשיים וחוסר התאמה בין תכנון המבדק למצב בפועל והיכולת לקיים את המתוכנן. המשתתפים יציגו עצמם, הבודק המוביל יפרט את הנקודות הרלוונטיות למבדק רשות ולאחר מכן יפרטו הבודקים מה ירצו לראות ואת לוחות הזמנים של </w:t>
            </w:r>
            <w:r w:rsidR="004F1DD3">
              <w:rPr>
                <w:rFonts w:ascii="David" w:hAnsi="David" w:cs="David" w:hint="cs"/>
                <w:sz w:val="24"/>
                <w:rtl/>
              </w:rPr>
              <w:t>ה</w:t>
            </w:r>
            <w:r w:rsidRPr="000D1665">
              <w:rPr>
                <w:rFonts w:ascii="David" w:hAnsi="David" w:cs="David"/>
                <w:sz w:val="24"/>
                <w:rtl/>
              </w:rPr>
              <w:t xml:space="preserve">מבדק. </w:t>
            </w:r>
            <w:r w:rsidR="004F1DD3">
              <w:rPr>
                <w:rFonts w:ascii="David" w:hAnsi="David" w:cs="David" w:hint="cs"/>
                <w:sz w:val="24"/>
                <w:rtl/>
              </w:rPr>
              <w:t xml:space="preserve">חדרים וירטואליים יוקמו לפי הצורך. </w:t>
            </w:r>
            <w:r w:rsidRPr="000D1665">
              <w:rPr>
                <w:rFonts w:ascii="David" w:hAnsi="David" w:cs="David"/>
                <w:sz w:val="24"/>
                <w:rtl/>
              </w:rPr>
              <w:t>אופי המבדק אינו פו</w:t>
            </w:r>
            <w:r w:rsidR="002D627B">
              <w:rPr>
                <w:rFonts w:ascii="David" w:hAnsi="David" w:cs="David" w:hint="cs"/>
                <w:sz w:val="24"/>
                <w:rtl/>
              </w:rPr>
              <w:t>ט</w:t>
            </w:r>
            <w:r w:rsidRPr="000D1665">
              <w:rPr>
                <w:rFonts w:ascii="David" w:hAnsi="David" w:cs="David"/>
                <w:sz w:val="24"/>
                <w:rtl/>
              </w:rPr>
              <w:t xml:space="preserve">ר מהפסקה אשר זמניה, כמו גם שעת סיום משוערת, יקבעו בשיחה זו. במידה ונציגי הארגון הכינו מצגת רלוונטית לשיחת הפתיחה זו תישלח לצוות המבדק במעמד שיחת הפתיחה או לפניה לשם מעקב תוך כדי הצגתה. </w:t>
            </w:r>
            <w:r w:rsidRPr="000D1665">
              <w:rPr>
                <w:rFonts w:ascii="David" w:hAnsi="David" w:cs="David"/>
                <w:b/>
                <w:bCs/>
                <w:sz w:val="24"/>
                <w:rtl/>
              </w:rPr>
              <w:t>בשיחות רבות משתתפים ייתכן עומס אשר יקשה על ביצועה. יש לבחון אפשרות לבצע את שיחת הפתיחה בצורה קולית בשיחת ועידה, ולעבור לשיחת וידאו כאשר הדבר רלוונטי לביצוע המבדק.</w:t>
            </w:r>
          </w:p>
          <w:p w14:paraId="4A17713C" w14:textId="42D16809" w:rsidR="00805D4E" w:rsidRPr="002D627B" w:rsidRDefault="006C2712" w:rsidP="005976FE">
            <w:pPr>
              <w:pStyle w:val="ListParagraph"/>
              <w:numPr>
                <w:ilvl w:val="0"/>
                <w:numId w:val="6"/>
              </w:numPr>
              <w:jc w:val="both"/>
              <w:rPr>
                <w:rFonts w:ascii="David" w:hAnsi="David" w:cs="David"/>
                <w:sz w:val="24"/>
              </w:rPr>
            </w:pPr>
            <w:r w:rsidRPr="000D1665">
              <w:rPr>
                <w:rFonts w:ascii="David" w:hAnsi="David" w:cs="David"/>
                <w:sz w:val="24"/>
                <w:rtl/>
              </w:rPr>
              <w:t>ברירת המחדל היא כי במקרה של התנתקות השיחה במהלך המבדק ינסה הבודק לחדש את הקשר עם הצוות הרלוונטי בארגון. במידה והחיבור עדיין אינו תקין יש לשקול דרכים אלטרנטיביות לקיים את המבדק (תמונה, שיחת טלפון רגילה וכד'). במידת הצורך יוחלט יחד עם הנבדק על דרך וזמני הפתרון זאת עד לכדי קביעת מבדק באתר/מרוחק במועד חדש.</w:t>
            </w:r>
          </w:p>
          <w:p w14:paraId="5B10F98E" w14:textId="2D632D39" w:rsidR="00805D4E" w:rsidRPr="002D627B" w:rsidRDefault="006C2712" w:rsidP="005976FE">
            <w:pPr>
              <w:pStyle w:val="ListParagraph"/>
              <w:numPr>
                <w:ilvl w:val="0"/>
                <w:numId w:val="6"/>
              </w:numPr>
              <w:jc w:val="both"/>
              <w:rPr>
                <w:rFonts w:ascii="David" w:hAnsi="David" w:cs="David"/>
                <w:sz w:val="24"/>
              </w:rPr>
            </w:pPr>
            <w:r w:rsidRPr="000D1665">
              <w:rPr>
                <w:rFonts w:ascii="David" w:hAnsi="David" w:cs="David"/>
                <w:sz w:val="24"/>
                <w:rtl/>
              </w:rPr>
              <w:t>הבודקים המקצועיים יציינו במחברותיהם, כמו גם בדוח, פעילויות שנסקרו מרחוק או באמצעות מסמכים כמו גם סעיפים אשר לדעתם סקירתם נפגעה עקב אופי המבדק.</w:t>
            </w:r>
          </w:p>
          <w:p w14:paraId="6B665D50" w14:textId="78B063E1" w:rsidR="00805D4E" w:rsidRPr="003A2ED2" w:rsidRDefault="006C2712" w:rsidP="003A2ED2">
            <w:pPr>
              <w:pStyle w:val="ListParagraph"/>
              <w:numPr>
                <w:ilvl w:val="0"/>
                <w:numId w:val="6"/>
              </w:numPr>
              <w:jc w:val="both"/>
              <w:rPr>
                <w:rFonts w:ascii="David" w:hAnsi="David" w:cs="David"/>
                <w:sz w:val="24"/>
              </w:rPr>
            </w:pPr>
            <w:r w:rsidRPr="000D1665">
              <w:rPr>
                <w:rFonts w:ascii="David" w:hAnsi="David" w:cs="David"/>
                <w:sz w:val="24"/>
                <w:rtl/>
              </w:rPr>
              <w:t>במהלך המבדק יתקבל מהארגון מידע בהתאם לבקשות הבודקים. המידע עשוי לכלול רשומות איכות שונות, תיעוד הדרכה והסמכה, תעודה אנליזה, תעודות כיול, דוחות בדיקה ועוד. המסמכים עשויים להישלח ע"י הארגון אל הבודק המוביל באמצעים כגון דוא"ל או צילום תמונה. במקרה והמסמכים מתקבלים ישירות לבודק המקצועי, הבודק המקצועי מתבקש לשלוח העתק של המסמכים לבודק המוביל.</w:t>
            </w:r>
          </w:p>
          <w:p w14:paraId="3230D503" w14:textId="21F4A32E" w:rsidR="002D627B" w:rsidRDefault="006C2712" w:rsidP="005976FE">
            <w:pPr>
              <w:pStyle w:val="ListParagraph"/>
              <w:numPr>
                <w:ilvl w:val="0"/>
                <w:numId w:val="6"/>
              </w:numPr>
              <w:jc w:val="both"/>
              <w:rPr>
                <w:rFonts w:ascii="David" w:hAnsi="David" w:cs="David"/>
                <w:sz w:val="24"/>
              </w:rPr>
            </w:pPr>
            <w:r w:rsidRPr="000D1665">
              <w:rPr>
                <w:rFonts w:ascii="David" w:hAnsi="David" w:cs="David"/>
                <w:sz w:val="24"/>
                <w:rtl/>
              </w:rPr>
              <w:t xml:space="preserve">לפני שיחת הסיום יבצע צוות המבדק (הבודק המוביל והבודקים המקצועיים) שיחה ללא </w:t>
            </w:r>
            <w:r w:rsidR="002D627B">
              <w:rPr>
                <w:rFonts w:ascii="David" w:hAnsi="David" w:cs="David" w:hint="cs"/>
                <w:sz w:val="24"/>
                <w:rtl/>
              </w:rPr>
              <w:t>השתתפות נציגי</w:t>
            </w:r>
            <w:r w:rsidRPr="000D1665">
              <w:rPr>
                <w:rFonts w:ascii="David" w:hAnsi="David" w:cs="David"/>
                <w:sz w:val="24"/>
                <w:rtl/>
              </w:rPr>
              <w:t xml:space="preserve"> הארגון על מנת לעבור על הסעיפים </w:t>
            </w:r>
            <w:r w:rsidR="002D627B">
              <w:rPr>
                <w:rFonts w:ascii="David" w:hAnsi="David" w:cs="David" w:hint="cs"/>
                <w:sz w:val="24"/>
                <w:rtl/>
              </w:rPr>
              <w:t>ש</w:t>
            </w:r>
            <w:r w:rsidRPr="000D1665">
              <w:rPr>
                <w:rFonts w:ascii="David" w:hAnsi="David" w:cs="David"/>
                <w:sz w:val="24"/>
                <w:rtl/>
              </w:rPr>
              <w:t xml:space="preserve">נסקרו במהלך המבדק, ניסוח הממצאים, שיוכם לסעיף הרלוונטי בתקן, החלטה על חומרתם וזיהוי ממצאים </w:t>
            </w:r>
            <w:r w:rsidR="002D627B">
              <w:rPr>
                <w:rFonts w:ascii="David" w:hAnsi="David" w:cs="David" w:hint="cs"/>
                <w:sz w:val="24"/>
                <w:rtl/>
              </w:rPr>
              <w:t>ה</w:t>
            </w:r>
            <w:r w:rsidRPr="000D1665">
              <w:rPr>
                <w:rFonts w:ascii="David" w:hAnsi="David" w:cs="David"/>
                <w:sz w:val="24"/>
                <w:rtl/>
              </w:rPr>
              <w:t>חוזרים על עצמם בין בודקים שונים. במידה ובשיחה זו יעלו פערים או שאלות נוספות, אלו יפתרו בשיחה מול גורמים רלוונטיים בארגון לפני ביצוע שיחת הסיכום.</w:t>
            </w:r>
          </w:p>
          <w:p w14:paraId="4124D9AD" w14:textId="77777777" w:rsidR="003A2ED2" w:rsidRPr="002D627B" w:rsidRDefault="003A2ED2" w:rsidP="003A2ED2">
            <w:pPr>
              <w:pStyle w:val="ListParagraph"/>
              <w:jc w:val="both"/>
              <w:rPr>
                <w:rFonts w:ascii="David" w:hAnsi="David" w:cs="David"/>
                <w:sz w:val="24"/>
              </w:rPr>
            </w:pPr>
          </w:p>
          <w:p w14:paraId="60A52066" w14:textId="31845ABA" w:rsidR="002D627B" w:rsidRPr="002D627B" w:rsidRDefault="006C2712" w:rsidP="005976FE">
            <w:pPr>
              <w:pStyle w:val="ListParagraph"/>
              <w:numPr>
                <w:ilvl w:val="0"/>
                <w:numId w:val="6"/>
              </w:numPr>
              <w:jc w:val="both"/>
              <w:rPr>
                <w:rFonts w:ascii="David" w:hAnsi="David" w:cs="David"/>
                <w:sz w:val="24"/>
              </w:rPr>
            </w:pPr>
            <w:r w:rsidRPr="000D1665">
              <w:rPr>
                <w:rFonts w:ascii="David" w:hAnsi="David" w:cs="David"/>
                <w:sz w:val="24"/>
                <w:rtl/>
              </w:rPr>
              <w:t>שיחת סיכום: מתכונת שיחת הסיכום אינה משתנה. כל בודק יציג את הממצאים ויעבור עם המעבדה על ממצאי המבדק כפי שנעשה במבדק רגיל על מנת להבטיח שנציגי הארגון הבינו את ממצאי המבדק. במעמד זה יוצפו הנושאים אשר על פי דעת הבודק המוביל, הבודקים המקצועיים או הארגון נפגעו מאופי המבדק (למשל, סקירת סביבת העבודה). באחריות ראש האגף לקבוע כיצד פערים אלו יושלמו. אפשרויות להשלמה כוללות אך אינן מוגבלות ל: מילוי חריגה, ביצוע מבדק מסמכים, ביצוע מבדק ממוקד על נושאים אלו כאשר הדבר יתאפשר או בחינת נושאים אלו ביתר שאת במבדק הבא. הפער בסקירת אותם נושאים יעלה בדוח המבדק בפרק "תכנון מול ביצוע" ו/או בפירוט התצפיות בסעיפים אלו. כמו בשיחת הפתיחה, גם שיחת הסיכום יכולה להתבצע כשיחת ועידה טלפונית ולא כשיחת וידאו, במידה והדבר יקל על התנהלות המבדק.</w:t>
            </w:r>
          </w:p>
          <w:p w14:paraId="1D5F2E78" w14:textId="77777777" w:rsidR="00805D4E" w:rsidRPr="000D1665" w:rsidRDefault="00805D4E" w:rsidP="000D1665">
            <w:pPr>
              <w:jc w:val="both"/>
              <w:rPr>
                <w:rFonts w:ascii="David" w:hAnsi="David"/>
                <w:sz w:val="24"/>
              </w:rPr>
            </w:pPr>
          </w:p>
          <w:p w14:paraId="3B70012D" w14:textId="4F4ECFEC" w:rsidR="00091AA0" w:rsidRPr="00805D4E" w:rsidRDefault="006C2712" w:rsidP="005976FE">
            <w:pPr>
              <w:pStyle w:val="ListParagraph"/>
              <w:numPr>
                <w:ilvl w:val="0"/>
                <w:numId w:val="6"/>
              </w:numPr>
              <w:jc w:val="both"/>
              <w:rPr>
                <w:rFonts w:ascii="David" w:hAnsi="David"/>
                <w:sz w:val="24"/>
                <w:rtl/>
              </w:rPr>
            </w:pPr>
            <w:r w:rsidRPr="000D1665">
              <w:rPr>
                <w:rFonts w:ascii="David" w:hAnsi="David" w:cs="David"/>
                <w:sz w:val="24"/>
                <w:rtl/>
              </w:rPr>
              <w:t>לאחר קריאת הממצאים והסכמה עליהם על המעבדה לשלוח לבודק המוביל את טפסי הממצאים חתומים. הדפסה, חתימה וסריקה, כמו גם שימוש בחתימה אלקטרונית מקובלים להשלמת שלב זה. הטפסים החתומים יישלחו לבודקים המקצועיים לביצוע אותה פעולה. טופס הממצאים החתום ע"י נציג הארגון, הבודק המקצועי והבודק המוביל, יתויקו בתיקיית המבדק הרלוונטית.</w:t>
            </w:r>
          </w:p>
        </w:tc>
        <w:tc>
          <w:tcPr>
            <w:tcW w:w="4320" w:type="dxa"/>
            <w:tcMar>
              <w:left w:w="85" w:type="dxa"/>
              <w:right w:w="85" w:type="dxa"/>
            </w:tcMar>
          </w:tcPr>
          <w:p w14:paraId="512CFEBE" w14:textId="43020333" w:rsidR="00805D4E" w:rsidRPr="000D1665" w:rsidRDefault="000038CA" w:rsidP="000D1665">
            <w:pPr>
              <w:bidi w:val="0"/>
              <w:spacing w:line="240" w:lineRule="auto"/>
              <w:jc w:val="both"/>
              <w:rPr>
                <w:sz w:val="20"/>
                <w:szCs w:val="20"/>
              </w:rPr>
            </w:pPr>
            <w:r w:rsidRPr="000D1665">
              <w:rPr>
                <w:sz w:val="20"/>
                <w:szCs w:val="20"/>
              </w:rPr>
              <w:lastRenderedPageBreak/>
              <w:t xml:space="preserve">A. </w:t>
            </w:r>
            <w:r w:rsidR="007B6F15" w:rsidRPr="000D1665">
              <w:rPr>
                <w:sz w:val="20"/>
                <w:szCs w:val="20"/>
              </w:rPr>
              <w:t xml:space="preserve">From time to time, an </w:t>
            </w:r>
            <w:r w:rsidR="003A2ED2">
              <w:rPr>
                <w:sz w:val="20"/>
                <w:szCs w:val="20"/>
              </w:rPr>
              <w:t xml:space="preserve">on-site </w:t>
            </w:r>
            <w:r w:rsidR="007B6F15" w:rsidRPr="000D1665">
              <w:rPr>
                <w:sz w:val="20"/>
                <w:szCs w:val="20"/>
              </w:rPr>
              <w:t>assessment will not be possible</w:t>
            </w:r>
            <w:r w:rsidR="003A2ED2">
              <w:rPr>
                <w:sz w:val="20"/>
                <w:szCs w:val="20"/>
              </w:rPr>
              <w:t xml:space="preserve"> in special circumstances </w:t>
            </w:r>
            <w:r w:rsidR="007B6F15" w:rsidRPr="000D1665">
              <w:rPr>
                <w:sz w:val="20"/>
                <w:szCs w:val="20"/>
              </w:rPr>
              <w:t>that affect the activities of</w:t>
            </w:r>
            <w:r w:rsidR="00805D4E" w:rsidRPr="000D1665">
              <w:rPr>
                <w:sz w:val="20"/>
                <w:szCs w:val="20"/>
              </w:rPr>
              <w:t xml:space="preserve"> Israel Laboratory Accreditation Authority (hereinafter,</w:t>
            </w:r>
            <w:r w:rsidR="007B6F15" w:rsidRPr="000D1665">
              <w:rPr>
                <w:sz w:val="20"/>
                <w:szCs w:val="20"/>
              </w:rPr>
              <w:t xml:space="preserve"> ISRAC</w:t>
            </w:r>
            <w:r w:rsidR="00805D4E" w:rsidRPr="000D1665">
              <w:rPr>
                <w:sz w:val="20"/>
                <w:szCs w:val="20"/>
              </w:rPr>
              <w:t>)</w:t>
            </w:r>
            <w:r w:rsidR="007B6F15" w:rsidRPr="000D1665">
              <w:rPr>
                <w:sz w:val="20"/>
                <w:szCs w:val="20"/>
              </w:rPr>
              <w:t xml:space="preserve"> and the assessment team and / or the conduct of the </w:t>
            </w:r>
            <w:r w:rsidR="00546956">
              <w:rPr>
                <w:sz w:val="20"/>
                <w:szCs w:val="20"/>
              </w:rPr>
              <w:t xml:space="preserve">Conformity Assessment Body (hereinafter, </w:t>
            </w:r>
            <w:r w:rsidR="00546956" w:rsidRPr="000D1665">
              <w:rPr>
                <w:sz w:val="20"/>
                <w:szCs w:val="20"/>
              </w:rPr>
              <w:t>CAB</w:t>
            </w:r>
            <w:r w:rsidR="00546956">
              <w:rPr>
                <w:sz w:val="20"/>
                <w:szCs w:val="20"/>
              </w:rPr>
              <w:t xml:space="preserve">) </w:t>
            </w:r>
            <w:r w:rsidR="007B6F15" w:rsidRPr="000D1665">
              <w:rPr>
                <w:sz w:val="20"/>
                <w:szCs w:val="20"/>
              </w:rPr>
              <w:t>under evaluation as well as its staff</w:t>
            </w:r>
            <w:r w:rsidR="007B6F15" w:rsidRPr="000D1665">
              <w:rPr>
                <w:sz w:val="20"/>
                <w:szCs w:val="20"/>
                <w:rtl/>
              </w:rPr>
              <w:t>.</w:t>
            </w:r>
          </w:p>
          <w:p w14:paraId="42D7142F" w14:textId="6D72B4C0" w:rsidR="00805D4E" w:rsidRPr="000D1665" w:rsidRDefault="007B6F15" w:rsidP="000017AF">
            <w:pPr>
              <w:bidi w:val="0"/>
              <w:spacing w:line="240" w:lineRule="auto"/>
              <w:jc w:val="both"/>
              <w:rPr>
                <w:sz w:val="20"/>
                <w:szCs w:val="20"/>
              </w:rPr>
            </w:pPr>
            <w:r w:rsidRPr="000D1665">
              <w:rPr>
                <w:sz w:val="20"/>
                <w:szCs w:val="20"/>
              </w:rPr>
              <w:t xml:space="preserve">B. ISRAC, together with the assessed </w:t>
            </w:r>
            <w:r w:rsidR="00546956">
              <w:rPr>
                <w:sz w:val="20"/>
                <w:szCs w:val="20"/>
              </w:rPr>
              <w:t>CAB</w:t>
            </w:r>
            <w:r w:rsidRPr="000D1665">
              <w:rPr>
                <w:sz w:val="20"/>
                <w:szCs w:val="20"/>
              </w:rPr>
              <w:t>, will make every effort to meet ISRAC guidelines and schedules required in the accreditation process. This includes performing a remote assessment using various techniques. Remote assessment is an accepted method in ISO/IEC 17011 according to which ISRAC operates</w:t>
            </w:r>
            <w:r w:rsidRPr="000D1665">
              <w:rPr>
                <w:sz w:val="20"/>
                <w:szCs w:val="20"/>
                <w:rtl/>
              </w:rPr>
              <w:t>.</w:t>
            </w:r>
          </w:p>
          <w:p w14:paraId="3299395A" w14:textId="401B5AE4" w:rsidR="00805D4E" w:rsidRDefault="007B6F15" w:rsidP="000017AF">
            <w:pPr>
              <w:bidi w:val="0"/>
              <w:spacing w:line="240" w:lineRule="auto"/>
              <w:jc w:val="both"/>
              <w:rPr>
                <w:sz w:val="20"/>
                <w:szCs w:val="20"/>
              </w:rPr>
            </w:pPr>
            <w:r w:rsidRPr="000D1665">
              <w:rPr>
                <w:sz w:val="20"/>
                <w:szCs w:val="20"/>
              </w:rPr>
              <w:t xml:space="preserve">C. A possible risk of conducting a remote assessment is not achieving the objectives of the assessment in the same way or the same level as the on-site assessment </w:t>
            </w:r>
            <w:r w:rsidR="000038CA" w:rsidRPr="000D1665">
              <w:rPr>
                <w:sz w:val="20"/>
                <w:szCs w:val="20"/>
              </w:rPr>
              <w:t>since</w:t>
            </w:r>
            <w:r w:rsidRPr="000D1665">
              <w:rPr>
                <w:sz w:val="20"/>
                <w:szCs w:val="20"/>
              </w:rPr>
              <w:t xml:space="preserve"> the impression is not the same as a tour of the area where </w:t>
            </w:r>
            <w:r w:rsidR="000017AF">
              <w:rPr>
                <w:sz w:val="20"/>
                <w:szCs w:val="20"/>
              </w:rPr>
              <w:t xml:space="preserve">a direct </w:t>
            </w:r>
            <w:r w:rsidRPr="000D1665">
              <w:rPr>
                <w:sz w:val="20"/>
                <w:szCs w:val="20"/>
              </w:rPr>
              <w:t xml:space="preserve">picture can be seen. Therefore, those involved in the assessment, both by ISRAC and by the CAB, will address this risk before and after the assessment as described below. Below is a template for conducting a risk survey to evaluate the possibility of performing a remote assessment. This survey will be saved after filling it in the </w:t>
            </w:r>
            <w:r w:rsidR="00805D4E" w:rsidRPr="000D1665">
              <w:rPr>
                <w:sz w:val="20"/>
                <w:szCs w:val="20"/>
              </w:rPr>
              <w:t>“</w:t>
            </w:r>
            <w:r w:rsidRPr="000D1665">
              <w:rPr>
                <w:sz w:val="20"/>
                <w:szCs w:val="20"/>
              </w:rPr>
              <w:t>Before the assessment</w:t>
            </w:r>
            <w:r w:rsidR="00805D4E" w:rsidRPr="000D1665">
              <w:rPr>
                <w:sz w:val="20"/>
                <w:szCs w:val="20"/>
              </w:rPr>
              <w:t>”</w:t>
            </w:r>
            <w:r w:rsidRPr="000D1665">
              <w:rPr>
                <w:sz w:val="20"/>
                <w:szCs w:val="20"/>
              </w:rPr>
              <w:t xml:space="preserve"> folder:</w:t>
            </w:r>
          </w:p>
          <w:bookmarkStart w:id="1" w:name="_MON_1683959923"/>
          <w:bookmarkEnd w:id="1"/>
          <w:p w14:paraId="747ABDA2" w14:textId="4F900689" w:rsidR="003A18B0" w:rsidRPr="000D1665" w:rsidRDefault="00D4386A" w:rsidP="003A18B0">
            <w:pPr>
              <w:bidi w:val="0"/>
              <w:spacing w:line="240" w:lineRule="auto"/>
              <w:jc w:val="both"/>
              <w:rPr>
                <w:sz w:val="20"/>
                <w:szCs w:val="20"/>
              </w:rPr>
            </w:pPr>
            <w:r>
              <w:object w:dxaOrig="1376" w:dyaOrig="893" w14:anchorId="22D243DA">
                <v:shape id="_x0000_i1026" type="#_x0000_t75" style="width:69.1pt;height:44.1pt" o:ole="">
                  <v:imagedata r:id="rId13" o:title=""/>
                </v:shape>
                <o:OLEObject Type="Embed" ProgID="Excel.Sheet.12" ShapeID="_x0000_i1026" DrawAspect="Icon" ObjectID="_1687596360" r:id="rId14"/>
              </w:object>
            </w:r>
          </w:p>
          <w:p w14:paraId="15B88424" w14:textId="77777777" w:rsidR="007B6F15" w:rsidRPr="000D1665" w:rsidRDefault="007B6F15" w:rsidP="000D1665">
            <w:pPr>
              <w:bidi w:val="0"/>
              <w:spacing w:line="240" w:lineRule="auto"/>
              <w:jc w:val="both"/>
              <w:rPr>
                <w:sz w:val="20"/>
                <w:szCs w:val="20"/>
              </w:rPr>
            </w:pPr>
            <w:r w:rsidRPr="000D1665">
              <w:rPr>
                <w:sz w:val="20"/>
                <w:szCs w:val="20"/>
              </w:rPr>
              <w:t>D. A remote assessment will be performed after the consent of the CAB, the head of the division, and with the prior approval of ISRAC management after reviewing the circumstances that led to the request for such an assessment. The agreements of these parties or an explanation of why such a remote assessment is not acceptable will be documented in the relevant assessment planning library. Reasons for not performing this type of assessment may include, but are not limited to</w:t>
            </w:r>
            <w:r w:rsidRPr="000D1665">
              <w:rPr>
                <w:sz w:val="20"/>
                <w:szCs w:val="20"/>
                <w:rtl/>
              </w:rPr>
              <w:t>:</w:t>
            </w:r>
          </w:p>
          <w:p w14:paraId="62B2171E" w14:textId="15FA2A3B" w:rsidR="007B6F15" w:rsidRPr="000D1665" w:rsidRDefault="007B6F15" w:rsidP="000D1665">
            <w:pPr>
              <w:bidi w:val="0"/>
              <w:spacing w:line="240" w:lineRule="auto"/>
              <w:jc w:val="both"/>
              <w:rPr>
                <w:sz w:val="20"/>
                <w:szCs w:val="20"/>
              </w:rPr>
            </w:pPr>
            <w:r w:rsidRPr="000D1665">
              <w:rPr>
                <w:sz w:val="20"/>
                <w:szCs w:val="20"/>
                <w:rtl/>
              </w:rPr>
              <w:t>-</w:t>
            </w:r>
            <w:r w:rsidRPr="000D1665">
              <w:rPr>
                <w:sz w:val="20"/>
                <w:szCs w:val="20"/>
                <w:rtl/>
              </w:rPr>
              <w:tab/>
            </w:r>
            <w:r w:rsidRPr="000D1665">
              <w:rPr>
                <w:sz w:val="20"/>
                <w:szCs w:val="20"/>
              </w:rPr>
              <w:t>The technical assessor</w:t>
            </w:r>
            <w:r w:rsidR="00805D4E" w:rsidRPr="000D1665">
              <w:rPr>
                <w:sz w:val="20"/>
                <w:szCs w:val="20"/>
              </w:rPr>
              <w:t>’</w:t>
            </w:r>
            <w:r w:rsidRPr="000D1665">
              <w:rPr>
                <w:sz w:val="20"/>
                <w:szCs w:val="20"/>
              </w:rPr>
              <w:t xml:space="preserve">s opinion is that it is not possible to evaluate, or witness the CAB conduct the activity in the </w:t>
            </w:r>
            <w:r w:rsidR="000017AF">
              <w:rPr>
                <w:sz w:val="20"/>
                <w:szCs w:val="20"/>
              </w:rPr>
              <w:t>assessed</w:t>
            </w:r>
            <w:r w:rsidRPr="000D1665">
              <w:rPr>
                <w:sz w:val="20"/>
                <w:szCs w:val="20"/>
              </w:rPr>
              <w:t xml:space="preserve"> field of accreditation</w:t>
            </w:r>
            <w:r w:rsidR="000017AF">
              <w:rPr>
                <w:sz w:val="20"/>
                <w:szCs w:val="20"/>
              </w:rPr>
              <w:t xml:space="preserve"> </w:t>
            </w:r>
            <w:r w:rsidRPr="000D1665">
              <w:rPr>
                <w:sz w:val="20"/>
                <w:szCs w:val="20"/>
              </w:rPr>
              <w:t>being under the limitations arising from the nature of a remote assessment</w:t>
            </w:r>
            <w:r w:rsidRPr="000D1665">
              <w:rPr>
                <w:sz w:val="20"/>
                <w:szCs w:val="20"/>
                <w:rtl/>
              </w:rPr>
              <w:t>.</w:t>
            </w:r>
          </w:p>
          <w:p w14:paraId="652DC305" w14:textId="5B27B124" w:rsidR="007B6F15" w:rsidRPr="000D1665" w:rsidRDefault="007B6F15" w:rsidP="000D1665">
            <w:pPr>
              <w:bidi w:val="0"/>
              <w:spacing w:line="240" w:lineRule="auto"/>
              <w:jc w:val="both"/>
              <w:rPr>
                <w:sz w:val="20"/>
                <w:szCs w:val="20"/>
              </w:rPr>
            </w:pPr>
            <w:r w:rsidRPr="000D1665">
              <w:rPr>
                <w:sz w:val="20"/>
                <w:szCs w:val="20"/>
                <w:rtl/>
              </w:rPr>
              <w:t>-</w:t>
            </w:r>
            <w:r w:rsidRPr="000D1665">
              <w:rPr>
                <w:sz w:val="20"/>
                <w:szCs w:val="20"/>
                <w:rtl/>
              </w:rPr>
              <w:tab/>
            </w:r>
            <w:r w:rsidRPr="000D1665">
              <w:rPr>
                <w:sz w:val="20"/>
                <w:szCs w:val="20"/>
              </w:rPr>
              <w:t>The head of the division</w:t>
            </w:r>
            <w:r w:rsidR="00805D4E" w:rsidRPr="000D1665">
              <w:rPr>
                <w:sz w:val="20"/>
                <w:szCs w:val="20"/>
              </w:rPr>
              <w:t>’</w:t>
            </w:r>
            <w:r w:rsidRPr="000D1665">
              <w:rPr>
                <w:sz w:val="20"/>
                <w:szCs w:val="20"/>
              </w:rPr>
              <w:t>s opinion that the CAB’s conduct in the past specifically for the technology being assessed or in general or the complexity of the method / technology being assessed, does not allow an efficient remote assessment</w:t>
            </w:r>
            <w:r w:rsidRPr="000D1665">
              <w:rPr>
                <w:sz w:val="20"/>
                <w:szCs w:val="20"/>
                <w:rtl/>
              </w:rPr>
              <w:t>.</w:t>
            </w:r>
          </w:p>
          <w:p w14:paraId="77679968" w14:textId="0A199554" w:rsidR="00805D4E" w:rsidRDefault="007B6F15" w:rsidP="000017AF">
            <w:pPr>
              <w:bidi w:val="0"/>
              <w:spacing w:line="240" w:lineRule="auto"/>
              <w:jc w:val="both"/>
              <w:rPr>
                <w:sz w:val="20"/>
                <w:szCs w:val="20"/>
              </w:rPr>
            </w:pPr>
            <w:r w:rsidRPr="000D1665">
              <w:rPr>
                <w:sz w:val="20"/>
                <w:szCs w:val="20"/>
                <w:rtl/>
              </w:rPr>
              <w:t>-</w:t>
            </w:r>
            <w:r w:rsidRPr="000D1665">
              <w:rPr>
                <w:sz w:val="20"/>
                <w:szCs w:val="20"/>
                <w:rtl/>
              </w:rPr>
              <w:tab/>
            </w:r>
            <w:r w:rsidRPr="000D1665">
              <w:rPr>
                <w:sz w:val="20"/>
                <w:szCs w:val="20"/>
              </w:rPr>
              <w:t xml:space="preserve">Determination by the management of ISRAC that under the conditions described, there is no </w:t>
            </w:r>
            <w:r w:rsidRPr="000D1665">
              <w:rPr>
                <w:sz w:val="20"/>
                <w:szCs w:val="20"/>
              </w:rPr>
              <w:lastRenderedPageBreak/>
              <w:t>justification for performing a remote assessment or that there is another reason that prevents such an assessment</w:t>
            </w:r>
            <w:r w:rsidRPr="000D1665">
              <w:rPr>
                <w:sz w:val="20"/>
                <w:szCs w:val="20"/>
                <w:rtl/>
              </w:rPr>
              <w:t>.</w:t>
            </w:r>
          </w:p>
          <w:p w14:paraId="12826AC5" w14:textId="5573BC40" w:rsidR="005976FE" w:rsidRDefault="005976FE" w:rsidP="005976FE">
            <w:pPr>
              <w:bidi w:val="0"/>
              <w:spacing w:line="240" w:lineRule="auto"/>
              <w:jc w:val="both"/>
              <w:rPr>
                <w:sz w:val="20"/>
                <w:szCs w:val="20"/>
              </w:rPr>
            </w:pPr>
          </w:p>
          <w:p w14:paraId="5409D19E" w14:textId="77777777" w:rsidR="003A2ED2" w:rsidRPr="000D1665" w:rsidRDefault="003A2ED2" w:rsidP="003A2ED2">
            <w:pPr>
              <w:bidi w:val="0"/>
              <w:spacing w:line="240" w:lineRule="auto"/>
              <w:jc w:val="both"/>
              <w:rPr>
                <w:sz w:val="20"/>
                <w:szCs w:val="20"/>
              </w:rPr>
            </w:pPr>
          </w:p>
          <w:p w14:paraId="770972D8" w14:textId="579860C4" w:rsidR="00805D4E" w:rsidRPr="000D1665" w:rsidRDefault="007B6F15" w:rsidP="000017AF">
            <w:pPr>
              <w:bidi w:val="0"/>
              <w:spacing w:line="240" w:lineRule="auto"/>
              <w:jc w:val="both"/>
              <w:rPr>
                <w:sz w:val="20"/>
                <w:szCs w:val="20"/>
              </w:rPr>
            </w:pPr>
            <w:r w:rsidRPr="000D1665">
              <w:rPr>
                <w:sz w:val="20"/>
                <w:szCs w:val="20"/>
              </w:rPr>
              <w:t>E. In case that during the assessment, it is revealed that the IMOH requirement cannot be met in terms of the number of people and minimal distance in one of the work areas where the assessment takes place, the situation must be stopped and reassessed. The Accreditation Deputy General Manager or another representative of the management should be consulted (to act as in the case of a request for termination of an assessment)</w:t>
            </w:r>
            <w:r w:rsidRPr="000D1665">
              <w:rPr>
                <w:sz w:val="20"/>
                <w:szCs w:val="20"/>
                <w:rtl/>
              </w:rPr>
              <w:t>.</w:t>
            </w:r>
          </w:p>
          <w:p w14:paraId="5330251D" w14:textId="77777777" w:rsidR="00805D4E" w:rsidRPr="000D1665" w:rsidRDefault="00805D4E" w:rsidP="000D1665">
            <w:pPr>
              <w:bidi w:val="0"/>
              <w:spacing w:line="240" w:lineRule="auto"/>
              <w:jc w:val="both"/>
              <w:rPr>
                <w:sz w:val="20"/>
                <w:szCs w:val="20"/>
              </w:rPr>
            </w:pPr>
          </w:p>
          <w:p w14:paraId="17285A1B" w14:textId="46E563E7" w:rsidR="00805D4E" w:rsidRPr="000D1665" w:rsidRDefault="007B6F15" w:rsidP="000017AF">
            <w:pPr>
              <w:bidi w:val="0"/>
              <w:spacing w:line="240" w:lineRule="auto"/>
              <w:jc w:val="both"/>
              <w:rPr>
                <w:sz w:val="20"/>
                <w:szCs w:val="20"/>
              </w:rPr>
            </w:pPr>
            <w:r w:rsidRPr="000D1665">
              <w:rPr>
                <w:sz w:val="20"/>
                <w:szCs w:val="20"/>
              </w:rPr>
              <w:t>F. If there is consensus in the risk survey supporting a possibility of a remote assessment</w:t>
            </w:r>
            <w:r w:rsidR="00805D4E" w:rsidRPr="000D1665">
              <w:rPr>
                <w:sz w:val="20"/>
                <w:szCs w:val="20"/>
              </w:rPr>
              <w:t>’</w:t>
            </w:r>
            <w:r w:rsidRPr="000D1665">
              <w:rPr>
                <w:sz w:val="20"/>
                <w:szCs w:val="20"/>
              </w:rPr>
              <w:t xml:space="preserve">s performance, the assessment plan should be updated accordingly. In the table </w:t>
            </w:r>
            <w:r w:rsidR="00805D4E" w:rsidRPr="000D1665">
              <w:rPr>
                <w:sz w:val="20"/>
                <w:szCs w:val="20"/>
              </w:rPr>
              <w:t>“</w:t>
            </w:r>
            <w:r w:rsidRPr="000D1665">
              <w:rPr>
                <w:sz w:val="20"/>
                <w:szCs w:val="20"/>
              </w:rPr>
              <w:t>activities of the assessment and schedule</w:t>
            </w:r>
            <w:r w:rsidR="00805D4E" w:rsidRPr="000D1665">
              <w:rPr>
                <w:sz w:val="20"/>
                <w:szCs w:val="20"/>
              </w:rPr>
              <w:t>”</w:t>
            </w:r>
            <w:r w:rsidRPr="000D1665">
              <w:rPr>
                <w:sz w:val="20"/>
                <w:szCs w:val="20"/>
              </w:rPr>
              <w:t xml:space="preserve"> it should be noted in the comments that the assessment described is performed remotely and the reasons for performing the assessment in this way</w:t>
            </w:r>
            <w:r w:rsidRPr="000D1665">
              <w:rPr>
                <w:sz w:val="20"/>
                <w:szCs w:val="20"/>
                <w:rtl/>
              </w:rPr>
              <w:t>.</w:t>
            </w:r>
          </w:p>
          <w:p w14:paraId="0E1D52DF" w14:textId="5A4A66ED" w:rsidR="00805D4E" w:rsidRPr="000D1665" w:rsidRDefault="007B6F15" w:rsidP="000017AF">
            <w:pPr>
              <w:bidi w:val="0"/>
              <w:spacing w:line="240" w:lineRule="auto"/>
              <w:jc w:val="both"/>
              <w:rPr>
                <w:sz w:val="20"/>
                <w:szCs w:val="20"/>
              </w:rPr>
            </w:pPr>
            <w:r w:rsidRPr="000D1665">
              <w:rPr>
                <w:sz w:val="20"/>
                <w:szCs w:val="20"/>
              </w:rPr>
              <w:t xml:space="preserve">G. Approval must be obtained from the CAB and the technical assessors regarding the nature of the assessment. The plan must include a list of the </w:t>
            </w:r>
            <w:r w:rsidR="00546956">
              <w:rPr>
                <w:sz w:val="20"/>
                <w:szCs w:val="20"/>
              </w:rPr>
              <w:t xml:space="preserve">fields of accreditation to be </w:t>
            </w:r>
            <w:r w:rsidRPr="000D1665">
              <w:rPr>
                <w:sz w:val="20"/>
                <w:szCs w:val="20"/>
              </w:rPr>
              <w:t xml:space="preserve">witnessed in a remote technique, or a general statement about the assessment if it is all done remotely. Emails confirming the subject or approval of the assessment plan by a CAB authorized signee will be filed in the relevant </w:t>
            </w:r>
            <w:r w:rsidR="00546956">
              <w:rPr>
                <w:sz w:val="20"/>
                <w:szCs w:val="20"/>
              </w:rPr>
              <w:t xml:space="preserve">CAB </w:t>
            </w:r>
            <w:r w:rsidRPr="000D1665">
              <w:rPr>
                <w:sz w:val="20"/>
                <w:szCs w:val="20"/>
              </w:rPr>
              <w:t>folder.</w:t>
            </w:r>
          </w:p>
          <w:p w14:paraId="40F1AA88" w14:textId="64FC1DDB" w:rsidR="00805D4E" w:rsidRPr="000D1665" w:rsidRDefault="009E1172" w:rsidP="000017AF">
            <w:pPr>
              <w:bidi w:val="0"/>
              <w:spacing w:line="240" w:lineRule="auto"/>
              <w:jc w:val="both"/>
              <w:rPr>
                <w:sz w:val="20"/>
                <w:szCs w:val="20"/>
              </w:rPr>
            </w:pPr>
            <w:r w:rsidRPr="000D1665">
              <w:rPr>
                <w:sz w:val="20"/>
                <w:szCs w:val="20"/>
              </w:rPr>
              <w:t xml:space="preserve">H. The CAB must evaluate the communication efficiency, confidentiality requirements, and ability to conduct a video assessment, specifically in the sites where the assessed activity is conducted (meaning, access to the communication software agreed upon, a computer equipped with a camera and microphone or cellphone and that the signal is strong enough). According to this assessment, it shall be decided along with the Team Leader and Technical Assessors which communication software </w:t>
            </w:r>
            <w:r w:rsidR="000017AF" w:rsidRPr="000D1665">
              <w:rPr>
                <w:sz w:val="20"/>
                <w:szCs w:val="20"/>
              </w:rPr>
              <w:t>platform</w:t>
            </w:r>
            <w:r w:rsidRPr="000D1665">
              <w:rPr>
                <w:sz w:val="20"/>
                <w:szCs w:val="20"/>
              </w:rPr>
              <w:t xml:space="preserve"> shall be used in the assessment</w:t>
            </w:r>
            <w:r w:rsidRPr="000D1665">
              <w:rPr>
                <w:sz w:val="20"/>
                <w:szCs w:val="20"/>
                <w:rtl/>
              </w:rPr>
              <w:t>.</w:t>
            </w:r>
          </w:p>
          <w:p w14:paraId="227333D6" w14:textId="34ECC6D4" w:rsidR="00805D4E" w:rsidRPr="000D1665" w:rsidRDefault="009E1172" w:rsidP="000D1665">
            <w:pPr>
              <w:bidi w:val="0"/>
              <w:spacing w:line="240" w:lineRule="auto"/>
              <w:jc w:val="both"/>
              <w:rPr>
                <w:sz w:val="20"/>
                <w:szCs w:val="20"/>
              </w:rPr>
            </w:pPr>
            <w:r w:rsidRPr="000D1665">
              <w:rPr>
                <w:sz w:val="20"/>
                <w:szCs w:val="20"/>
              </w:rPr>
              <w:t>I. In case of difficulties in conducting an online video assessment, a possibility for sending offline videos of the</w:t>
            </w:r>
            <w:r w:rsidR="00546956">
              <w:rPr>
                <w:sz w:val="20"/>
                <w:szCs w:val="20"/>
              </w:rPr>
              <w:t xml:space="preserve"> Conformity Assessment Activity (hereinafter, </w:t>
            </w:r>
            <w:r w:rsidR="00546956" w:rsidRPr="000D1665">
              <w:rPr>
                <w:sz w:val="20"/>
                <w:szCs w:val="20"/>
              </w:rPr>
              <w:t>CA</w:t>
            </w:r>
            <w:r w:rsidR="00546956">
              <w:rPr>
                <w:sz w:val="20"/>
                <w:szCs w:val="20"/>
              </w:rPr>
              <w:t>A)</w:t>
            </w:r>
            <w:r w:rsidRPr="000D1665">
              <w:rPr>
                <w:sz w:val="20"/>
                <w:szCs w:val="20"/>
              </w:rPr>
              <w:t xml:space="preserve"> to the technical assesso</w:t>
            </w:r>
            <w:r w:rsidR="00546956">
              <w:rPr>
                <w:sz w:val="20"/>
                <w:szCs w:val="20"/>
              </w:rPr>
              <w:t>r shall be evaluated</w:t>
            </w:r>
            <w:r w:rsidRPr="000D1665">
              <w:rPr>
                <w:sz w:val="20"/>
                <w:szCs w:val="20"/>
                <w:rtl/>
              </w:rPr>
              <w:t>.</w:t>
            </w:r>
          </w:p>
          <w:p w14:paraId="15CD3FB9" w14:textId="77777777" w:rsidR="009E1172" w:rsidRPr="000D1665" w:rsidRDefault="009E1172" w:rsidP="000D1665">
            <w:pPr>
              <w:bidi w:val="0"/>
              <w:spacing w:line="240" w:lineRule="auto"/>
              <w:jc w:val="both"/>
              <w:rPr>
                <w:sz w:val="20"/>
                <w:szCs w:val="20"/>
              </w:rPr>
            </w:pPr>
            <w:r w:rsidRPr="000D1665">
              <w:rPr>
                <w:sz w:val="20"/>
                <w:szCs w:val="20"/>
              </w:rPr>
              <w:t>J. The team leader shall email the assessment plan and instructions and communication details, including the quality manager, CAB team, assessment team, and head of the division. In case that the software uses phone numbers/emails for identification, these shall be sent to all relevant parties. A confirmation from the assessors and CAB to this email shall be filed in the relevant assessment plan folder</w:t>
            </w:r>
            <w:r w:rsidRPr="000D1665">
              <w:rPr>
                <w:sz w:val="20"/>
                <w:szCs w:val="20"/>
                <w:rtl/>
              </w:rPr>
              <w:t>.</w:t>
            </w:r>
          </w:p>
          <w:p w14:paraId="7FAD681E" w14:textId="77777777" w:rsidR="00805D4E" w:rsidRPr="000D1665" w:rsidRDefault="00805D4E" w:rsidP="000D1665">
            <w:pPr>
              <w:bidi w:val="0"/>
              <w:spacing w:line="240" w:lineRule="auto"/>
              <w:jc w:val="both"/>
              <w:rPr>
                <w:sz w:val="20"/>
                <w:szCs w:val="20"/>
              </w:rPr>
            </w:pPr>
          </w:p>
          <w:p w14:paraId="64A7D40A" w14:textId="77777777" w:rsidR="00805D4E" w:rsidRPr="000D1665" w:rsidRDefault="00805D4E" w:rsidP="000D1665">
            <w:pPr>
              <w:bidi w:val="0"/>
              <w:spacing w:line="240" w:lineRule="auto"/>
              <w:jc w:val="both"/>
              <w:rPr>
                <w:sz w:val="20"/>
                <w:szCs w:val="20"/>
              </w:rPr>
            </w:pPr>
          </w:p>
          <w:p w14:paraId="2BCC1D05" w14:textId="58F091F1" w:rsidR="00805D4E" w:rsidRPr="000D1665" w:rsidRDefault="009E1172" w:rsidP="00546956">
            <w:pPr>
              <w:bidi w:val="0"/>
              <w:spacing w:line="240" w:lineRule="auto"/>
              <w:jc w:val="both"/>
              <w:rPr>
                <w:sz w:val="20"/>
                <w:szCs w:val="20"/>
              </w:rPr>
            </w:pPr>
            <w:r w:rsidRPr="000D1665">
              <w:rPr>
                <w:sz w:val="20"/>
                <w:szCs w:val="20"/>
              </w:rPr>
              <w:t>K. Before the assessment, the communication quality shall be checked in a short simulation between the assessors and relevant employees performing the CAA in the site where the activity will occur to ensure intact communication and identify aby issues at both sides before performing the assessment</w:t>
            </w:r>
            <w:r w:rsidRPr="000D1665">
              <w:rPr>
                <w:sz w:val="20"/>
                <w:szCs w:val="20"/>
                <w:rtl/>
              </w:rPr>
              <w:t>.</w:t>
            </w:r>
          </w:p>
          <w:p w14:paraId="36C9A88F" w14:textId="4FB5C575" w:rsidR="009E1172" w:rsidRPr="002D627B" w:rsidRDefault="009E1172" w:rsidP="002D627B">
            <w:pPr>
              <w:bidi w:val="0"/>
              <w:spacing w:line="240" w:lineRule="auto"/>
              <w:jc w:val="both"/>
              <w:rPr>
                <w:sz w:val="20"/>
                <w:szCs w:val="20"/>
              </w:rPr>
            </w:pPr>
            <w:r w:rsidRPr="000D1665">
              <w:rPr>
                <w:sz w:val="20"/>
                <w:szCs w:val="20"/>
              </w:rPr>
              <w:t xml:space="preserve">L. As part of their preparation for the assessment, ISRAC assessors will compile a list of documents they wish to see (such as employee permits, calibration, and intermediate checks, reference materials, process controls records, </w:t>
            </w:r>
            <w:proofErr w:type="spellStart"/>
            <w:r w:rsidRPr="000D1665">
              <w:rPr>
                <w:sz w:val="20"/>
                <w:szCs w:val="20"/>
              </w:rPr>
              <w:t>intralaboratory</w:t>
            </w:r>
            <w:proofErr w:type="spellEnd"/>
            <w:r w:rsidRPr="000D1665">
              <w:rPr>
                <w:sz w:val="20"/>
                <w:szCs w:val="20"/>
              </w:rPr>
              <w:t xml:space="preserve"> comparisons, PT test results or any other document reflecting the organization</w:t>
            </w:r>
            <w:r w:rsidR="00805D4E" w:rsidRPr="000D1665">
              <w:rPr>
                <w:sz w:val="20"/>
                <w:szCs w:val="20"/>
              </w:rPr>
              <w:t>’</w:t>
            </w:r>
            <w:r w:rsidRPr="000D1665">
              <w:rPr>
                <w:sz w:val="20"/>
                <w:szCs w:val="20"/>
              </w:rPr>
              <w:t xml:space="preserve">s compliance). This list will be sent to the CAB that will send these documents before the assessment date. </w:t>
            </w:r>
            <w:r w:rsidRPr="002D627B">
              <w:rPr>
                <w:sz w:val="20"/>
                <w:szCs w:val="20"/>
                <w:u w:val="single"/>
              </w:rPr>
              <w:t>Sending these documents does not exempt from sending additional documents upon request during the assessment</w:t>
            </w:r>
            <w:r w:rsidRPr="000D1665">
              <w:rPr>
                <w:sz w:val="20"/>
                <w:szCs w:val="20"/>
              </w:rPr>
              <w:t xml:space="preserve"> but comes to facilitate and streamline the course of the assessment and perhaps even shorten it. The documents should be requested from the laboratory as far in advance as possible. Special attention should be paid to the documents from the T1-000014-03 checklist.</w:t>
            </w:r>
            <w:r w:rsidR="002D627B">
              <w:rPr>
                <w:sz w:val="20"/>
                <w:szCs w:val="20"/>
              </w:rPr>
              <w:t xml:space="preserve"> </w:t>
            </w:r>
            <w:r w:rsidR="002D627B">
              <w:rPr>
                <w:rFonts w:hint="cs"/>
                <w:sz w:val="20"/>
                <w:szCs w:val="20"/>
              </w:rPr>
              <w:t>A</w:t>
            </w:r>
            <w:r w:rsidRPr="000D1665">
              <w:rPr>
                <w:sz w:val="20"/>
                <w:szCs w:val="20"/>
              </w:rPr>
              <w:t>dditional documents consideration</w:t>
            </w:r>
            <w:r w:rsidR="002D627B">
              <w:rPr>
                <w:sz w:val="20"/>
                <w:szCs w:val="20"/>
              </w:rPr>
              <w:t xml:space="preserve"> </w:t>
            </w:r>
            <w:r w:rsidR="00C450B6">
              <w:rPr>
                <w:sz w:val="20"/>
                <w:szCs w:val="20"/>
              </w:rPr>
              <w:t>is</w:t>
            </w:r>
            <w:r w:rsidR="002D627B">
              <w:rPr>
                <w:sz w:val="20"/>
                <w:szCs w:val="20"/>
              </w:rPr>
              <w:t xml:space="preserve"> detailed in </w:t>
            </w:r>
            <w:r w:rsidR="00805D4E" w:rsidRPr="000D1665">
              <w:rPr>
                <w:sz w:val="20"/>
                <w:szCs w:val="20"/>
              </w:rPr>
              <w:t>appendix No. 2</w:t>
            </w:r>
            <w:r w:rsidR="002D627B">
              <w:rPr>
                <w:sz w:val="20"/>
                <w:szCs w:val="20"/>
              </w:rPr>
              <w:t xml:space="preserve"> (i</w:t>
            </w:r>
            <w:r w:rsidR="002D627B" w:rsidRPr="000D1665">
              <w:rPr>
                <w:sz w:val="20"/>
                <w:szCs w:val="20"/>
              </w:rPr>
              <w:t>t should be emphasized that this is not a closed list, and the assessor may request additional documents relevant to the field of evaluation, as required</w:t>
            </w:r>
            <w:r w:rsidR="002D627B">
              <w:rPr>
                <w:sz w:val="20"/>
                <w:szCs w:val="20"/>
              </w:rPr>
              <w:t>).</w:t>
            </w:r>
          </w:p>
          <w:p w14:paraId="408AEEB7" w14:textId="5E5CBE12" w:rsidR="002D627B" w:rsidRPr="000D1665" w:rsidRDefault="0094722E" w:rsidP="003A2ED2">
            <w:pPr>
              <w:bidi w:val="0"/>
              <w:spacing w:line="240" w:lineRule="auto"/>
              <w:jc w:val="both"/>
              <w:rPr>
                <w:rFonts w:ascii="David" w:hAnsi="David"/>
                <w:sz w:val="20"/>
                <w:szCs w:val="20"/>
              </w:rPr>
            </w:pPr>
            <w:r w:rsidRPr="000D1665">
              <w:rPr>
                <w:rFonts w:ascii="David" w:hAnsi="David"/>
                <w:sz w:val="20"/>
                <w:szCs w:val="20"/>
              </w:rPr>
              <w:t xml:space="preserve">M. During the assessment. The files should be sent via email only. Sending in other channels may result in documents being kept by the assessors </w:t>
            </w:r>
            <w:r w:rsidR="0044243A" w:rsidRPr="000D1665">
              <w:rPr>
                <w:rFonts w:ascii="David" w:hAnsi="David"/>
                <w:sz w:val="20"/>
                <w:szCs w:val="20"/>
              </w:rPr>
              <w:t>unintentionally</w:t>
            </w:r>
            <w:r w:rsidRPr="000D1665">
              <w:rPr>
                <w:rFonts w:ascii="David" w:hAnsi="David"/>
                <w:sz w:val="20"/>
                <w:szCs w:val="20"/>
              </w:rPr>
              <w:t>. In any case, the course of the assessment should not be recorded / filmed without the consent of the subject and the CAB</w:t>
            </w:r>
            <w:r w:rsidRPr="000D1665">
              <w:rPr>
                <w:rFonts w:ascii="David" w:hAnsi="David"/>
                <w:sz w:val="20"/>
                <w:szCs w:val="20"/>
                <w:rtl/>
              </w:rPr>
              <w:t>.</w:t>
            </w:r>
          </w:p>
          <w:p w14:paraId="44E93BF3" w14:textId="7485AE1B" w:rsidR="002D627B" w:rsidRPr="000D1665" w:rsidRDefault="0094722E" w:rsidP="002D627B">
            <w:pPr>
              <w:bidi w:val="0"/>
              <w:spacing w:line="240" w:lineRule="auto"/>
              <w:jc w:val="both"/>
              <w:rPr>
                <w:rFonts w:ascii="David" w:hAnsi="David"/>
                <w:sz w:val="20"/>
                <w:szCs w:val="20"/>
              </w:rPr>
            </w:pPr>
            <w:r w:rsidRPr="000D1665">
              <w:rPr>
                <w:rFonts w:ascii="David" w:hAnsi="David"/>
                <w:sz w:val="20"/>
                <w:szCs w:val="20"/>
              </w:rPr>
              <w:t>N. In case of an unplanned disruption (technical or other) during the assessment, one should try to reconnect. If the connection is still not working, alternative ways of conducting the assessment (photo, regular phone call, etc.) should be considered. If necessary, it must be decided together with the CAB to re-schedule the assessment until the problem is resolved</w:t>
            </w:r>
            <w:r w:rsidRPr="000D1665">
              <w:rPr>
                <w:rFonts w:ascii="David" w:hAnsi="David"/>
                <w:sz w:val="20"/>
                <w:szCs w:val="20"/>
                <w:rtl/>
              </w:rPr>
              <w:t>.</w:t>
            </w:r>
          </w:p>
          <w:p w14:paraId="69F9AA2B" w14:textId="3C57D290" w:rsidR="00805D4E" w:rsidRDefault="0094722E" w:rsidP="002D627B">
            <w:pPr>
              <w:bidi w:val="0"/>
              <w:spacing w:line="240" w:lineRule="auto"/>
              <w:jc w:val="both"/>
              <w:rPr>
                <w:rFonts w:ascii="David" w:hAnsi="David"/>
                <w:sz w:val="20"/>
                <w:szCs w:val="20"/>
              </w:rPr>
            </w:pPr>
            <w:r w:rsidRPr="000D1665">
              <w:rPr>
                <w:rFonts w:ascii="David" w:hAnsi="David"/>
                <w:sz w:val="20"/>
                <w:szCs w:val="20"/>
              </w:rPr>
              <w:t xml:space="preserve">O. Opening meeting: the same as in regular on-site assessments. A formal meeting conducted remotely with the assessors and CAB representatives, in which gaps or lack of conformity between the assessment planning and actual situation and ability to conduct it as planned. The participants will introduce themselves; the Team Leader will detail the points relevant to ISRAC’s assessment, and then the assessors will specify what they would like to see and the schedules of the assessment. </w:t>
            </w:r>
            <w:r w:rsidR="004F1DD3">
              <w:rPr>
                <w:rFonts w:ascii="David" w:hAnsi="David"/>
                <w:sz w:val="20"/>
                <w:szCs w:val="20"/>
              </w:rPr>
              <w:t xml:space="preserve">Virtual rooms shall be created, as necessary. </w:t>
            </w:r>
            <w:r w:rsidRPr="000D1665">
              <w:rPr>
                <w:rFonts w:ascii="David" w:hAnsi="David"/>
                <w:sz w:val="20"/>
                <w:szCs w:val="20"/>
              </w:rPr>
              <w:t>The assessment shall include break time, as well as an estimated end time, which will be determined in this conversation. If the organization</w:t>
            </w:r>
            <w:r w:rsidR="00805D4E" w:rsidRPr="000D1665">
              <w:rPr>
                <w:rFonts w:ascii="David" w:hAnsi="David"/>
                <w:sz w:val="20"/>
                <w:szCs w:val="20"/>
              </w:rPr>
              <w:t>’</w:t>
            </w:r>
            <w:r w:rsidRPr="000D1665">
              <w:rPr>
                <w:rFonts w:ascii="David" w:hAnsi="David"/>
                <w:sz w:val="20"/>
                <w:szCs w:val="20"/>
              </w:rPr>
              <w:t xml:space="preserve">s representatives have prepared a short presentation relevant to the opening </w:t>
            </w:r>
            <w:r w:rsidR="009C7803">
              <w:rPr>
                <w:rFonts w:ascii="David" w:hAnsi="David"/>
                <w:sz w:val="20"/>
                <w:szCs w:val="20"/>
              </w:rPr>
              <w:t>meeting</w:t>
            </w:r>
            <w:r w:rsidRPr="000D1665">
              <w:rPr>
                <w:rFonts w:ascii="David" w:hAnsi="David"/>
                <w:sz w:val="20"/>
                <w:szCs w:val="20"/>
              </w:rPr>
              <w:t xml:space="preserve">, it will be sent to the assessment team during the opening meeting or before it to allow a following-up the presentation. </w:t>
            </w:r>
            <w:r w:rsidRPr="000D1665">
              <w:rPr>
                <w:rFonts w:ascii="David" w:hAnsi="David"/>
                <w:b/>
                <w:bCs/>
                <w:sz w:val="20"/>
                <w:szCs w:val="20"/>
              </w:rPr>
              <w:t>The Inclusion of many participants may pose a load that will make it difficult to perform. The possibility of conducting the opening meeting aloud in a conference call, continued by a video call when relevant to the performance of the assessment</w:t>
            </w:r>
            <w:r w:rsidRPr="000D1665">
              <w:rPr>
                <w:rFonts w:ascii="David" w:hAnsi="David"/>
                <w:b/>
                <w:bCs/>
                <w:sz w:val="20"/>
                <w:szCs w:val="20"/>
                <w:rtl/>
              </w:rPr>
              <w:t>.</w:t>
            </w:r>
          </w:p>
          <w:p w14:paraId="1035B7B5" w14:textId="77777777" w:rsidR="003A2ED2" w:rsidRPr="000D1665" w:rsidRDefault="003A2ED2" w:rsidP="003A2ED2">
            <w:pPr>
              <w:bidi w:val="0"/>
              <w:spacing w:line="240" w:lineRule="auto"/>
              <w:jc w:val="both"/>
              <w:rPr>
                <w:rFonts w:ascii="David" w:hAnsi="David"/>
                <w:sz w:val="20"/>
                <w:szCs w:val="20"/>
              </w:rPr>
            </w:pPr>
          </w:p>
          <w:p w14:paraId="0DF5CECE" w14:textId="77777777" w:rsidR="0094722E" w:rsidRPr="000D1665" w:rsidRDefault="0094722E" w:rsidP="002D627B">
            <w:pPr>
              <w:bidi w:val="0"/>
              <w:spacing w:line="240" w:lineRule="auto"/>
              <w:jc w:val="both"/>
              <w:rPr>
                <w:rFonts w:ascii="David" w:hAnsi="David"/>
                <w:sz w:val="20"/>
                <w:szCs w:val="20"/>
              </w:rPr>
            </w:pPr>
            <w:r w:rsidRPr="000D1665">
              <w:rPr>
                <w:rFonts w:ascii="David" w:hAnsi="David"/>
                <w:sz w:val="20"/>
                <w:szCs w:val="20"/>
              </w:rPr>
              <w:t>P. The default is that in the event of a disconnected communication during the assessment, the assessor will try to reconnect with the relevant staff in the CAB. If the connection is still not working, alternative ways of conducting the assessment (photo, regular phone call, etc.) should be considered. If necessary, it will be decided together with the assessed CAB on the way and times of the solution until a site / remote assessment is scheduled at a new date</w:t>
            </w:r>
            <w:r w:rsidRPr="000D1665">
              <w:rPr>
                <w:rFonts w:ascii="David" w:hAnsi="David"/>
                <w:sz w:val="20"/>
                <w:szCs w:val="20"/>
                <w:rtl/>
              </w:rPr>
              <w:t>.</w:t>
            </w:r>
          </w:p>
          <w:p w14:paraId="2A0B68FD" w14:textId="4FBEA7D0" w:rsidR="0094722E" w:rsidRPr="000D1665" w:rsidRDefault="0094722E" w:rsidP="002D627B">
            <w:pPr>
              <w:bidi w:val="0"/>
              <w:spacing w:line="240" w:lineRule="auto"/>
              <w:jc w:val="both"/>
              <w:rPr>
                <w:rFonts w:ascii="David" w:hAnsi="David"/>
                <w:sz w:val="20"/>
                <w:szCs w:val="20"/>
              </w:rPr>
            </w:pPr>
            <w:r w:rsidRPr="000D1665">
              <w:rPr>
                <w:rFonts w:ascii="David" w:hAnsi="David"/>
                <w:sz w:val="20"/>
                <w:szCs w:val="20"/>
              </w:rPr>
              <w:t xml:space="preserve">Q. The technical assessors will indicate in their notebooks, as well as in the report, activities </w:t>
            </w:r>
            <w:r w:rsidR="00805D4E" w:rsidRPr="000D1665">
              <w:rPr>
                <w:rFonts w:ascii="David" w:hAnsi="David"/>
                <w:sz w:val="20"/>
                <w:szCs w:val="20"/>
              </w:rPr>
              <w:pgNum/>
            </w:r>
            <w:proofErr w:type="spellStart"/>
            <w:r w:rsidR="00805D4E" w:rsidRPr="000D1665">
              <w:rPr>
                <w:rFonts w:ascii="David" w:hAnsi="David"/>
                <w:sz w:val="20"/>
                <w:szCs w:val="20"/>
              </w:rPr>
              <w:t>itnessed</w:t>
            </w:r>
            <w:proofErr w:type="spellEnd"/>
            <w:r w:rsidRPr="000D1665">
              <w:rPr>
                <w:rFonts w:ascii="David" w:hAnsi="David"/>
                <w:sz w:val="20"/>
                <w:szCs w:val="20"/>
              </w:rPr>
              <w:t xml:space="preserve"> from a distance or through documents review as well as sections which in their opinion was impaired due to the nature of the assessment</w:t>
            </w:r>
            <w:r w:rsidRPr="000D1665">
              <w:rPr>
                <w:rFonts w:ascii="David" w:hAnsi="David"/>
                <w:sz w:val="20"/>
                <w:szCs w:val="20"/>
                <w:rtl/>
              </w:rPr>
              <w:t>.</w:t>
            </w:r>
          </w:p>
          <w:p w14:paraId="12C77593" w14:textId="77777777" w:rsidR="0094722E" w:rsidRPr="000D1665" w:rsidRDefault="0094722E" w:rsidP="002D627B">
            <w:pPr>
              <w:bidi w:val="0"/>
              <w:spacing w:line="240" w:lineRule="auto"/>
              <w:jc w:val="both"/>
              <w:rPr>
                <w:rFonts w:ascii="David" w:hAnsi="David"/>
                <w:sz w:val="20"/>
                <w:szCs w:val="20"/>
              </w:rPr>
            </w:pPr>
            <w:r w:rsidRPr="000D1665">
              <w:rPr>
                <w:rFonts w:ascii="David" w:hAnsi="David"/>
                <w:sz w:val="20"/>
                <w:szCs w:val="20"/>
              </w:rPr>
              <w:t>R. During the assessment, information will be received from the CAB following the assessor’s requests. The information may include various quality records, training and qualification documentation, certificate of analysis, calibration certificates, test reports, and more. The documents may be sent by the CAB to the Team Leader by means such as email or photo-taking. In case the documents are received directly by the technical assessor, the technical assessor is asked to send a copy of the documents to the Team Leader</w:t>
            </w:r>
            <w:r w:rsidRPr="000D1665">
              <w:rPr>
                <w:rFonts w:ascii="David" w:hAnsi="David"/>
                <w:sz w:val="20"/>
                <w:szCs w:val="20"/>
                <w:rtl/>
              </w:rPr>
              <w:t>.</w:t>
            </w:r>
          </w:p>
          <w:p w14:paraId="08F63CB5" w14:textId="4BA129D3" w:rsidR="0094722E" w:rsidRPr="000D1665" w:rsidRDefault="0094722E" w:rsidP="002D627B">
            <w:pPr>
              <w:bidi w:val="0"/>
              <w:spacing w:line="240" w:lineRule="auto"/>
              <w:jc w:val="both"/>
              <w:rPr>
                <w:rFonts w:ascii="David" w:hAnsi="David"/>
                <w:sz w:val="20"/>
                <w:szCs w:val="20"/>
              </w:rPr>
            </w:pPr>
            <w:r w:rsidRPr="000D1665">
              <w:rPr>
                <w:rFonts w:ascii="David" w:hAnsi="David"/>
                <w:sz w:val="20"/>
                <w:szCs w:val="20"/>
              </w:rPr>
              <w:t xml:space="preserve">S. Before the closure meeting, the assessment team (the Team Leader and the technical assessors) will conduct a close assessment team meeting </w:t>
            </w:r>
            <w:proofErr w:type="gramStart"/>
            <w:r w:rsidRPr="000D1665">
              <w:rPr>
                <w:rFonts w:ascii="David" w:hAnsi="David"/>
                <w:sz w:val="20"/>
                <w:szCs w:val="20"/>
              </w:rPr>
              <w:t>in order to</w:t>
            </w:r>
            <w:proofErr w:type="gramEnd"/>
            <w:r w:rsidRPr="000D1665">
              <w:rPr>
                <w:rFonts w:ascii="David" w:hAnsi="David"/>
                <w:sz w:val="20"/>
                <w:szCs w:val="20"/>
              </w:rPr>
              <w:t xml:space="preserve"> review the sections reviewed and witnessed during the assessment, formulate the findings, assign them to the relevant clause in the standard, decide on their severity and identify recurring or common findings between assessors. If this conversation raises additional gaps or questions, these will be resolved in a communicate with relevant parties in the CAB before the closure meeting</w:t>
            </w:r>
            <w:r w:rsidRPr="000D1665">
              <w:rPr>
                <w:rFonts w:ascii="David" w:hAnsi="David"/>
                <w:sz w:val="20"/>
                <w:szCs w:val="20"/>
                <w:rtl/>
              </w:rPr>
              <w:t>.</w:t>
            </w:r>
          </w:p>
          <w:p w14:paraId="698396FC" w14:textId="30B96CFD" w:rsidR="0094722E" w:rsidRPr="000D1665" w:rsidRDefault="0094722E" w:rsidP="002D627B">
            <w:pPr>
              <w:bidi w:val="0"/>
              <w:spacing w:line="240" w:lineRule="auto"/>
              <w:jc w:val="both"/>
              <w:rPr>
                <w:rFonts w:ascii="David" w:hAnsi="David"/>
                <w:sz w:val="20"/>
                <w:szCs w:val="20"/>
              </w:rPr>
            </w:pPr>
            <w:r w:rsidRPr="000D1665">
              <w:rPr>
                <w:rFonts w:ascii="David" w:hAnsi="David"/>
                <w:sz w:val="20"/>
                <w:szCs w:val="20"/>
              </w:rPr>
              <w:t xml:space="preserve">T. Closure meeting: The closure meeting format does not change. Each assessor will present the findings and go through the assessment findings with the CAB as was done in a regular assessment to ensure that the representatives of the CAB understood the assessment findings. This forum will cover issues that, in the opinion of the Team Leader, the technical assessors, or the CAB have been negatively impacted by the nature of the assessment (e.g., a review of the work environment). It is the responsibility of the Head of the Division to determine how these gaps will be filled. Options for completion include but are not limited to the following: filling in a deviation, performing a document review, performing a special focused assessment on these topics as soon as possible, or reviewing these topics more closely in the following assessment. The gap in the review of those issues will be indicated in the assessment report in the chapter </w:t>
            </w:r>
            <w:r w:rsidR="00805D4E" w:rsidRPr="000D1665">
              <w:rPr>
                <w:rFonts w:ascii="David" w:hAnsi="David"/>
                <w:sz w:val="20"/>
                <w:szCs w:val="20"/>
              </w:rPr>
              <w:t>“</w:t>
            </w:r>
            <w:r w:rsidRPr="000D1665">
              <w:rPr>
                <w:rFonts w:ascii="David" w:hAnsi="David"/>
                <w:sz w:val="20"/>
                <w:szCs w:val="20"/>
              </w:rPr>
              <w:t>Planning vs. Performance</w:t>
            </w:r>
            <w:r w:rsidR="00805D4E" w:rsidRPr="000D1665">
              <w:rPr>
                <w:rFonts w:ascii="David" w:hAnsi="David"/>
                <w:sz w:val="20"/>
                <w:szCs w:val="20"/>
              </w:rPr>
              <w:t>”</w:t>
            </w:r>
            <w:r w:rsidRPr="000D1665">
              <w:rPr>
                <w:rFonts w:ascii="David" w:hAnsi="David"/>
                <w:sz w:val="20"/>
                <w:szCs w:val="20"/>
              </w:rPr>
              <w:t xml:space="preserve"> and / or in the details of the observations in these sections. As in the opening meeting, the summary meeting can also be made as a telephone conference call and not as a video call</w:t>
            </w:r>
            <w:r w:rsidRPr="000D1665">
              <w:rPr>
                <w:rFonts w:ascii="David" w:hAnsi="David"/>
                <w:sz w:val="20"/>
                <w:szCs w:val="20"/>
                <w:rtl/>
              </w:rPr>
              <w:t>.</w:t>
            </w:r>
          </w:p>
          <w:p w14:paraId="52E9E1DB" w14:textId="3D0CBAE2" w:rsidR="006C2712" w:rsidRPr="00805D4E" w:rsidRDefault="0094722E" w:rsidP="002D627B">
            <w:pPr>
              <w:bidi w:val="0"/>
              <w:spacing w:line="240" w:lineRule="auto"/>
              <w:jc w:val="both"/>
              <w:rPr>
                <w:rFonts w:ascii="David" w:hAnsi="David"/>
                <w:sz w:val="24"/>
              </w:rPr>
            </w:pPr>
            <w:r w:rsidRPr="000D1665">
              <w:rPr>
                <w:rFonts w:ascii="David" w:hAnsi="David"/>
                <w:sz w:val="20"/>
                <w:szCs w:val="20"/>
              </w:rPr>
              <w:t>U. After reviewing and agreeing on the findings, the CAB shall send the Team Leader the signed NC</w:t>
            </w:r>
            <w:r w:rsidR="00805D4E" w:rsidRPr="000D1665">
              <w:rPr>
                <w:rFonts w:ascii="David" w:hAnsi="David"/>
                <w:sz w:val="20"/>
                <w:szCs w:val="20"/>
              </w:rPr>
              <w:t>’</w:t>
            </w:r>
            <w:r w:rsidRPr="000D1665">
              <w:rPr>
                <w:rFonts w:ascii="David" w:hAnsi="David"/>
                <w:sz w:val="20"/>
                <w:szCs w:val="20"/>
              </w:rPr>
              <w:t>s forms. Printing, signing, and scanning, as well as using an electronic signature, are appropriate to complete this step. The signed forms shall be sent to the technical assessors for signing. The findings form signed by the CAB representative, technical assessor, and Team Leader shall be filed in the relevant ISRAC IT system.</w:t>
            </w:r>
          </w:p>
        </w:tc>
      </w:tr>
    </w:tbl>
    <w:p w14:paraId="53D7742E" w14:textId="77777777" w:rsidR="0094722E" w:rsidRPr="00805D4E" w:rsidRDefault="0094722E">
      <w:r w:rsidRPr="00805D4E">
        <w:lastRenderedPageBreak/>
        <w:br w:type="page"/>
      </w:r>
    </w:p>
    <w:tbl>
      <w:tblPr>
        <w:bidiVisual/>
        <w:tblW w:w="0" w:type="auto"/>
        <w:tblBorders>
          <w:insideV w:val="single" w:sz="4" w:space="0" w:color="auto"/>
        </w:tblBorders>
        <w:tblLook w:val="0000" w:firstRow="0" w:lastRow="0" w:firstColumn="0" w:lastColumn="0" w:noHBand="0" w:noVBand="0"/>
      </w:tblPr>
      <w:tblGrid>
        <w:gridCol w:w="9070"/>
      </w:tblGrid>
      <w:tr w:rsidR="006C2712" w:rsidRPr="0044243A" w14:paraId="30F0AFAA" w14:textId="77777777" w:rsidTr="1A719332">
        <w:trPr>
          <w:trHeight w:val="207"/>
        </w:trPr>
        <w:tc>
          <w:tcPr>
            <w:tcW w:w="9070" w:type="dxa"/>
            <w:tcMar>
              <w:left w:w="85" w:type="dxa"/>
              <w:right w:w="85" w:type="dxa"/>
            </w:tcMar>
          </w:tcPr>
          <w:p w14:paraId="797CFC49" w14:textId="643156AF" w:rsidR="006C2712" w:rsidRPr="00805D4E" w:rsidRDefault="006C2712" w:rsidP="006C2712">
            <w:pPr>
              <w:bidi w:val="0"/>
              <w:rPr>
                <w:rFonts w:ascii="David" w:hAnsi="David"/>
                <w:sz w:val="20"/>
                <w:szCs w:val="20"/>
                <w:u w:val="single"/>
                <w:rtl/>
              </w:rPr>
            </w:pPr>
            <w:r w:rsidRPr="00805D4E">
              <w:rPr>
                <w:rFonts w:ascii="David" w:hAnsi="David"/>
                <w:sz w:val="20"/>
                <w:szCs w:val="20"/>
                <w:u w:val="single"/>
              </w:rPr>
              <w:t>Appendix No. 1: Manual for Remote Techniques</w:t>
            </w:r>
          </w:p>
          <w:p w14:paraId="4AE76F4F" w14:textId="77777777" w:rsidR="006C2712" w:rsidRPr="00805D4E" w:rsidRDefault="006C2712" w:rsidP="006C2712">
            <w:pPr>
              <w:bidi w:val="0"/>
              <w:rPr>
                <w:rFonts w:asciiTheme="majorBidi" w:hAnsiTheme="majorBidi" w:cstheme="majorBidi"/>
                <w:sz w:val="20"/>
                <w:szCs w:val="20"/>
              </w:rPr>
            </w:pPr>
            <w:r w:rsidRPr="00805D4E">
              <w:rPr>
                <w:rFonts w:asciiTheme="majorBidi" w:hAnsiTheme="majorBidi" w:cstheme="majorBidi"/>
                <w:sz w:val="20"/>
                <w:szCs w:val="20"/>
              </w:rPr>
              <w:t>MS-Teams</w:t>
            </w:r>
          </w:p>
          <w:p w14:paraId="2BA60E08" w14:textId="77777777" w:rsidR="006C2712" w:rsidRPr="00805D4E" w:rsidRDefault="00A74B8B" w:rsidP="006C2712">
            <w:pPr>
              <w:bidi w:val="0"/>
              <w:rPr>
                <w:rFonts w:asciiTheme="majorBidi" w:hAnsiTheme="majorBidi" w:cstheme="majorBidi"/>
                <w:sz w:val="20"/>
                <w:szCs w:val="20"/>
              </w:rPr>
            </w:pPr>
            <w:hyperlink r:id="rId15" w:history="1">
              <w:r w:rsidR="006C2712" w:rsidRPr="00805D4E">
                <w:rPr>
                  <w:rStyle w:val="Hyperlink"/>
                  <w:rFonts w:asciiTheme="majorBidi" w:hAnsiTheme="majorBidi" w:cstheme="majorBidi"/>
                  <w:sz w:val="20"/>
                  <w:szCs w:val="20"/>
                </w:rPr>
                <w:t>https://www.youtube.com/watch?v=OxfukizkyCA</w:t>
              </w:r>
            </w:hyperlink>
            <w:r w:rsidR="006C2712" w:rsidRPr="00805D4E">
              <w:rPr>
                <w:rFonts w:asciiTheme="majorBidi" w:hAnsiTheme="majorBidi" w:cstheme="majorBidi"/>
                <w:sz w:val="20"/>
                <w:szCs w:val="20"/>
              </w:rPr>
              <w:t xml:space="preserve"> </w:t>
            </w:r>
          </w:p>
          <w:p w14:paraId="1C7504B4" w14:textId="77777777" w:rsidR="006C2712" w:rsidRPr="00805D4E" w:rsidRDefault="006C2712" w:rsidP="006C2712">
            <w:pPr>
              <w:bidi w:val="0"/>
              <w:rPr>
                <w:rFonts w:asciiTheme="majorBidi" w:hAnsiTheme="majorBidi" w:cstheme="majorBidi"/>
                <w:sz w:val="20"/>
                <w:szCs w:val="20"/>
                <w:rtl/>
              </w:rPr>
            </w:pPr>
            <w:r w:rsidRPr="00805D4E">
              <w:rPr>
                <w:rFonts w:asciiTheme="majorBidi" w:hAnsiTheme="majorBidi" w:cstheme="majorBidi"/>
                <w:sz w:val="20"/>
                <w:szCs w:val="20"/>
              </w:rPr>
              <w:t>Zoom</w:t>
            </w:r>
          </w:p>
          <w:p w14:paraId="50421EEB" w14:textId="77777777" w:rsidR="006C2712" w:rsidRPr="00805D4E" w:rsidRDefault="00A74B8B" w:rsidP="006C2712">
            <w:pPr>
              <w:bidi w:val="0"/>
              <w:rPr>
                <w:rFonts w:asciiTheme="majorBidi" w:hAnsiTheme="majorBidi" w:cstheme="majorBidi"/>
                <w:sz w:val="20"/>
                <w:szCs w:val="20"/>
                <w:rtl/>
              </w:rPr>
            </w:pPr>
            <w:hyperlink r:id="rId16" w:history="1">
              <w:r w:rsidR="006C2712" w:rsidRPr="00805D4E">
                <w:rPr>
                  <w:rStyle w:val="Hyperlink"/>
                  <w:rFonts w:asciiTheme="majorBidi" w:hAnsiTheme="majorBidi" w:cstheme="majorBidi"/>
                  <w:sz w:val="20"/>
                  <w:szCs w:val="20"/>
                </w:rPr>
                <w:t>https://www.youtube.com/watch?v=2BEPQsfUg2M</w:t>
              </w:r>
            </w:hyperlink>
          </w:p>
          <w:p w14:paraId="13A8F9B0" w14:textId="77777777" w:rsidR="006C2712" w:rsidRPr="00805D4E" w:rsidRDefault="006C2712" w:rsidP="006C2712">
            <w:pPr>
              <w:bidi w:val="0"/>
              <w:rPr>
                <w:rFonts w:asciiTheme="majorBidi" w:hAnsiTheme="majorBidi" w:cstheme="majorBidi"/>
                <w:sz w:val="20"/>
                <w:szCs w:val="20"/>
                <w:rtl/>
              </w:rPr>
            </w:pPr>
            <w:r w:rsidRPr="00805D4E">
              <w:rPr>
                <w:rFonts w:asciiTheme="majorBidi" w:hAnsiTheme="majorBidi" w:cstheme="majorBidi"/>
                <w:sz w:val="20"/>
                <w:szCs w:val="20"/>
              </w:rPr>
              <w:t>Skype</w:t>
            </w:r>
          </w:p>
          <w:p w14:paraId="547F8005" w14:textId="77777777" w:rsidR="006C2712" w:rsidRPr="00805D4E" w:rsidRDefault="00A74B8B" w:rsidP="006C2712">
            <w:pPr>
              <w:bidi w:val="0"/>
              <w:rPr>
                <w:rFonts w:asciiTheme="majorBidi" w:hAnsiTheme="majorBidi" w:cstheme="majorBidi"/>
                <w:sz w:val="20"/>
                <w:szCs w:val="20"/>
              </w:rPr>
            </w:pPr>
            <w:hyperlink r:id="rId17" w:history="1">
              <w:r w:rsidR="006C2712" w:rsidRPr="00805D4E">
                <w:rPr>
                  <w:rStyle w:val="Hyperlink"/>
                  <w:rFonts w:asciiTheme="majorBidi" w:hAnsiTheme="majorBidi" w:cstheme="majorBidi"/>
                  <w:sz w:val="20"/>
                  <w:szCs w:val="20"/>
                </w:rPr>
                <w:t>https://www.youtube.com/watch?v=S38e-t6rhKA</w:t>
              </w:r>
            </w:hyperlink>
          </w:p>
          <w:p w14:paraId="3A5F2AAA" w14:textId="77777777" w:rsidR="006C2712" w:rsidRPr="00805D4E" w:rsidRDefault="006C2712" w:rsidP="006C2712">
            <w:pPr>
              <w:bidi w:val="0"/>
              <w:rPr>
                <w:rFonts w:asciiTheme="majorBidi" w:hAnsiTheme="majorBidi" w:cstheme="majorBidi"/>
                <w:sz w:val="20"/>
                <w:szCs w:val="20"/>
                <w:rtl/>
              </w:rPr>
            </w:pPr>
            <w:r w:rsidRPr="00805D4E">
              <w:rPr>
                <w:rFonts w:asciiTheme="majorBidi" w:hAnsiTheme="majorBidi" w:cstheme="majorBidi"/>
                <w:sz w:val="20"/>
                <w:szCs w:val="20"/>
              </w:rPr>
              <w:t>WhatsApp</w:t>
            </w:r>
          </w:p>
          <w:p w14:paraId="6FF49658" w14:textId="77777777" w:rsidR="006C2712" w:rsidRPr="00805D4E" w:rsidRDefault="00A74B8B" w:rsidP="006C2712">
            <w:pPr>
              <w:bidi w:val="0"/>
              <w:rPr>
                <w:rFonts w:asciiTheme="majorBidi" w:hAnsiTheme="majorBidi" w:cstheme="majorBidi"/>
                <w:sz w:val="20"/>
                <w:szCs w:val="20"/>
                <w:rtl/>
              </w:rPr>
            </w:pPr>
            <w:hyperlink r:id="rId18" w:history="1">
              <w:r w:rsidR="006C2712" w:rsidRPr="00805D4E">
                <w:rPr>
                  <w:rStyle w:val="Hyperlink"/>
                  <w:rFonts w:asciiTheme="majorBidi" w:hAnsiTheme="majorBidi" w:cstheme="majorBidi"/>
                  <w:sz w:val="20"/>
                  <w:szCs w:val="20"/>
                </w:rPr>
                <w:t>https://www.youtube.com/watch?v=qwixsEIQ7eY</w:t>
              </w:r>
            </w:hyperlink>
          </w:p>
          <w:p w14:paraId="15389EF7" w14:textId="17EA077E" w:rsidR="006C2712" w:rsidRPr="009C2387" w:rsidRDefault="009C2387" w:rsidP="009C2387">
            <w:pPr>
              <w:bidi w:val="0"/>
              <w:jc w:val="both"/>
              <w:rPr>
                <w:sz w:val="20"/>
                <w:szCs w:val="20"/>
              </w:rPr>
            </w:pPr>
            <w:r w:rsidRPr="009C2387">
              <w:rPr>
                <w:sz w:val="20"/>
                <w:szCs w:val="20"/>
              </w:rPr>
              <w:t>GO-PRO</w:t>
            </w:r>
          </w:p>
          <w:p w14:paraId="082E2F3D" w14:textId="31FD02A9" w:rsidR="009C2387" w:rsidRDefault="00A74B8B" w:rsidP="009C2387">
            <w:pPr>
              <w:bidi w:val="0"/>
              <w:jc w:val="both"/>
              <w:rPr>
                <w:sz w:val="20"/>
                <w:szCs w:val="20"/>
              </w:rPr>
            </w:pPr>
            <w:hyperlink r:id="rId19" w:history="1">
              <w:r w:rsidR="009C2387" w:rsidRPr="00D11753">
                <w:rPr>
                  <w:rStyle w:val="Hyperlink"/>
                  <w:sz w:val="20"/>
                  <w:szCs w:val="20"/>
                </w:rPr>
                <w:t>https://gopro.com/en/il/news/how-to-use-gopro-for-webcam</w:t>
              </w:r>
            </w:hyperlink>
            <w:r w:rsidR="009C2387">
              <w:rPr>
                <w:sz w:val="20"/>
                <w:szCs w:val="20"/>
              </w:rPr>
              <w:t xml:space="preserve"> </w:t>
            </w:r>
          </w:p>
          <w:p w14:paraId="525BCF68" w14:textId="77777777" w:rsidR="009C2387" w:rsidRPr="009C2387" w:rsidRDefault="009C2387" w:rsidP="009C2387">
            <w:pPr>
              <w:bidi w:val="0"/>
              <w:jc w:val="both"/>
              <w:rPr>
                <w:sz w:val="20"/>
                <w:szCs w:val="20"/>
              </w:rPr>
            </w:pPr>
          </w:p>
          <w:p w14:paraId="25527C7F" w14:textId="54620984" w:rsidR="00805D4E" w:rsidRDefault="00805D4E" w:rsidP="006C2712">
            <w:pPr>
              <w:bidi w:val="0"/>
              <w:jc w:val="both"/>
              <w:rPr>
                <w:rFonts w:ascii="David" w:hAnsi="David"/>
                <w:sz w:val="20"/>
                <w:szCs w:val="20"/>
                <w:u w:val="single"/>
              </w:rPr>
            </w:pPr>
            <w:r>
              <w:rPr>
                <w:rFonts w:ascii="David" w:hAnsi="David" w:hint="cs"/>
                <w:sz w:val="20"/>
                <w:szCs w:val="20"/>
                <w:u w:val="single"/>
              </w:rPr>
              <w:t>A</w:t>
            </w:r>
            <w:r>
              <w:rPr>
                <w:rFonts w:ascii="David" w:hAnsi="David"/>
                <w:sz w:val="20"/>
                <w:szCs w:val="20"/>
                <w:u w:val="single"/>
              </w:rPr>
              <w:t xml:space="preserve">ppendix No. 2: </w:t>
            </w:r>
            <w:r w:rsidR="005641F4">
              <w:rPr>
                <w:rFonts w:ascii="David" w:hAnsi="David"/>
                <w:sz w:val="20"/>
                <w:szCs w:val="20"/>
                <w:u w:val="single"/>
              </w:rPr>
              <w:t>Recommendation for sending evidence for r</w:t>
            </w:r>
            <w:r w:rsidR="005641F4" w:rsidRPr="00805D4E">
              <w:rPr>
                <w:rFonts w:ascii="David" w:hAnsi="David"/>
                <w:sz w:val="20"/>
                <w:szCs w:val="20"/>
                <w:u w:val="single"/>
              </w:rPr>
              <w:t>emote</w:t>
            </w:r>
            <w:r w:rsidR="005641F4">
              <w:rPr>
                <w:rFonts w:ascii="David" w:hAnsi="David"/>
                <w:sz w:val="20"/>
                <w:szCs w:val="20"/>
                <w:u w:val="single"/>
              </w:rPr>
              <w:t xml:space="preserve"> assessments</w:t>
            </w:r>
          </w:p>
          <w:tbl>
            <w:tblPr>
              <w:tblStyle w:val="TableGrid"/>
              <w:bidiVisual/>
              <w:tblW w:w="8890" w:type="dxa"/>
              <w:tblLook w:val="04A0" w:firstRow="1" w:lastRow="0" w:firstColumn="1" w:lastColumn="0" w:noHBand="0" w:noVBand="1"/>
            </w:tblPr>
            <w:tblGrid>
              <w:gridCol w:w="1427"/>
              <w:gridCol w:w="3805"/>
              <w:gridCol w:w="3658"/>
            </w:tblGrid>
            <w:tr w:rsidR="00680966" w:rsidRPr="00805D4E" w14:paraId="77771B9F" w14:textId="035E67FA" w:rsidTr="1A719332">
              <w:trPr>
                <w:trHeight w:val="386"/>
                <w:tblHeader/>
              </w:trPr>
              <w:tc>
                <w:tcPr>
                  <w:tcW w:w="1221" w:type="dxa"/>
                  <w:vAlign w:val="center"/>
                </w:tcPr>
                <w:p w14:paraId="05A7DFDA" w14:textId="77777777" w:rsidR="00680966" w:rsidRPr="000D1665" w:rsidRDefault="00680966" w:rsidP="00680966">
                  <w:pPr>
                    <w:jc w:val="center"/>
                    <w:rPr>
                      <w:rFonts w:ascii="David" w:hAnsi="David"/>
                      <w:b/>
                      <w:bCs/>
                      <w:sz w:val="20"/>
                      <w:szCs w:val="20"/>
                      <w:rtl/>
                    </w:rPr>
                  </w:pPr>
                  <w:r w:rsidRPr="000D1665">
                    <w:rPr>
                      <w:rFonts w:ascii="David" w:hAnsi="David"/>
                      <w:b/>
                      <w:bCs/>
                      <w:sz w:val="20"/>
                      <w:szCs w:val="20"/>
                      <w:rtl/>
                    </w:rPr>
                    <w:t>נושא</w:t>
                  </w:r>
                </w:p>
              </w:tc>
              <w:tc>
                <w:tcPr>
                  <w:tcW w:w="3925" w:type="dxa"/>
                  <w:vAlign w:val="center"/>
                </w:tcPr>
                <w:p w14:paraId="14435DED" w14:textId="77777777" w:rsidR="00680966" w:rsidRPr="000D1665" w:rsidRDefault="00680966" w:rsidP="00680966">
                  <w:pPr>
                    <w:ind w:right="720"/>
                    <w:jc w:val="center"/>
                    <w:rPr>
                      <w:rFonts w:ascii="David" w:hAnsi="David"/>
                      <w:b/>
                      <w:bCs/>
                      <w:sz w:val="20"/>
                      <w:szCs w:val="20"/>
                      <w:rtl/>
                    </w:rPr>
                  </w:pPr>
                  <w:r w:rsidRPr="000D1665">
                    <w:rPr>
                      <w:rFonts w:ascii="David" w:hAnsi="David"/>
                      <w:b/>
                      <w:bCs/>
                      <w:sz w:val="20"/>
                      <w:szCs w:val="20"/>
                      <w:rtl/>
                    </w:rPr>
                    <w:t>מסמך נדרש</w:t>
                  </w:r>
                </w:p>
              </w:tc>
              <w:tc>
                <w:tcPr>
                  <w:tcW w:w="3744" w:type="dxa"/>
                </w:tcPr>
                <w:p w14:paraId="57C793DF" w14:textId="68778004" w:rsidR="00680966" w:rsidRPr="000D1665" w:rsidRDefault="00680966" w:rsidP="00680966">
                  <w:pPr>
                    <w:bidi w:val="0"/>
                    <w:ind w:right="720"/>
                    <w:jc w:val="center"/>
                    <w:rPr>
                      <w:rFonts w:asciiTheme="minorBidi" w:hAnsiTheme="minorBidi" w:cstheme="minorBidi"/>
                      <w:b/>
                      <w:bCs/>
                      <w:sz w:val="20"/>
                      <w:szCs w:val="20"/>
                      <w:rtl/>
                    </w:rPr>
                  </w:pPr>
                  <w:r w:rsidRPr="000D1665">
                    <w:rPr>
                      <w:rFonts w:ascii="David" w:hAnsi="David"/>
                      <w:b/>
                      <w:bCs/>
                      <w:sz w:val="20"/>
                      <w:szCs w:val="20"/>
                    </w:rPr>
                    <w:t>Required document</w:t>
                  </w:r>
                </w:p>
              </w:tc>
            </w:tr>
            <w:tr w:rsidR="00680966" w:rsidRPr="00805D4E" w14:paraId="2D5E1A86" w14:textId="1E80B8BE" w:rsidTr="1A719332">
              <w:tc>
                <w:tcPr>
                  <w:tcW w:w="1221" w:type="dxa"/>
                </w:tcPr>
                <w:p w14:paraId="7C5B95DA" w14:textId="6770C08E" w:rsidR="00680966" w:rsidRPr="000D1665" w:rsidRDefault="00680966" w:rsidP="00680966">
                  <w:pPr>
                    <w:rPr>
                      <w:rFonts w:ascii="David" w:hAnsi="David"/>
                      <w:sz w:val="20"/>
                      <w:szCs w:val="20"/>
                      <w:rtl/>
                    </w:rPr>
                  </w:pPr>
                  <w:r w:rsidRPr="000D1665">
                    <w:rPr>
                      <w:rFonts w:ascii="David" w:hAnsi="David"/>
                      <w:sz w:val="20"/>
                      <w:szCs w:val="20"/>
                      <w:rtl/>
                    </w:rPr>
                    <w:t>אי משוא פנים</w:t>
                  </w:r>
                </w:p>
                <w:p w14:paraId="2F6B8A64" w14:textId="017CF663" w:rsidR="00680966" w:rsidRPr="000D1665" w:rsidRDefault="00680966" w:rsidP="00680966">
                  <w:pPr>
                    <w:bidi w:val="0"/>
                    <w:rPr>
                      <w:rFonts w:ascii="David" w:hAnsi="David"/>
                      <w:sz w:val="20"/>
                      <w:szCs w:val="20"/>
                      <w:rtl/>
                    </w:rPr>
                  </w:pPr>
                  <w:r w:rsidRPr="000D1665">
                    <w:rPr>
                      <w:rFonts w:ascii="David" w:hAnsi="David"/>
                      <w:sz w:val="20"/>
                      <w:szCs w:val="20"/>
                    </w:rPr>
                    <w:t>Impartiality</w:t>
                  </w:r>
                </w:p>
              </w:tc>
              <w:tc>
                <w:tcPr>
                  <w:tcW w:w="3925" w:type="dxa"/>
                </w:tcPr>
                <w:p w14:paraId="4BA8D9E5" w14:textId="77777777" w:rsidR="00680966" w:rsidRPr="000D1665" w:rsidRDefault="00680966" w:rsidP="005976FE">
                  <w:pPr>
                    <w:pStyle w:val="ListParagraph"/>
                    <w:numPr>
                      <w:ilvl w:val="0"/>
                      <w:numId w:val="8"/>
                    </w:numPr>
                    <w:spacing w:after="0" w:line="240" w:lineRule="auto"/>
                    <w:ind w:left="504" w:right="144"/>
                    <w:rPr>
                      <w:rFonts w:ascii="David" w:hAnsi="David" w:cs="David"/>
                      <w:sz w:val="20"/>
                      <w:szCs w:val="20"/>
                    </w:rPr>
                  </w:pPr>
                  <w:r w:rsidRPr="000D1665">
                    <w:rPr>
                      <w:rFonts w:ascii="David" w:hAnsi="David" w:cs="David"/>
                      <w:sz w:val="20"/>
                      <w:szCs w:val="20"/>
                      <w:rtl/>
                    </w:rPr>
                    <w:t>סקר סיכונים</w:t>
                  </w:r>
                </w:p>
                <w:p w14:paraId="27BC0F8B" w14:textId="77777777" w:rsidR="00680966" w:rsidRPr="000D1665" w:rsidRDefault="00680966" w:rsidP="005976FE">
                  <w:pPr>
                    <w:pStyle w:val="ListParagraph"/>
                    <w:numPr>
                      <w:ilvl w:val="0"/>
                      <w:numId w:val="8"/>
                    </w:numPr>
                    <w:spacing w:after="0" w:line="240" w:lineRule="auto"/>
                    <w:ind w:left="504" w:right="144"/>
                    <w:rPr>
                      <w:rFonts w:ascii="David" w:hAnsi="David" w:cs="David"/>
                      <w:sz w:val="20"/>
                      <w:szCs w:val="20"/>
                    </w:rPr>
                  </w:pPr>
                  <w:r w:rsidRPr="000D1665">
                    <w:rPr>
                      <w:rFonts w:ascii="David" w:hAnsi="David" w:cs="David"/>
                      <w:sz w:val="20"/>
                      <w:szCs w:val="20"/>
                      <w:rtl/>
                    </w:rPr>
                    <w:t>מסמך, טופס הדרכה שהעובדים חתומים עליו</w:t>
                  </w:r>
                </w:p>
                <w:p w14:paraId="74AD09CE" w14:textId="77777777" w:rsidR="00680966" w:rsidRPr="000D1665" w:rsidRDefault="00680966" w:rsidP="005976FE">
                  <w:pPr>
                    <w:pStyle w:val="ListParagraph"/>
                    <w:numPr>
                      <w:ilvl w:val="0"/>
                      <w:numId w:val="8"/>
                    </w:numPr>
                    <w:spacing w:after="0" w:line="240" w:lineRule="auto"/>
                    <w:ind w:left="504" w:right="144"/>
                    <w:rPr>
                      <w:rFonts w:ascii="David" w:hAnsi="David" w:cs="David"/>
                      <w:sz w:val="20"/>
                      <w:szCs w:val="20"/>
                      <w:rtl/>
                    </w:rPr>
                  </w:pPr>
                  <w:r w:rsidRPr="000D1665">
                    <w:rPr>
                      <w:rFonts w:ascii="David" w:hAnsi="David" w:cs="David"/>
                      <w:sz w:val="20"/>
                      <w:szCs w:val="20"/>
                      <w:rtl/>
                    </w:rPr>
                    <w:t xml:space="preserve">דיווח על משוא פנים/ניגוד עניינים במידה והיו </w:t>
                  </w:r>
                </w:p>
              </w:tc>
              <w:tc>
                <w:tcPr>
                  <w:tcW w:w="3744" w:type="dxa"/>
                </w:tcPr>
                <w:p w14:paraId="4B770533" w14:textId="77777777" w:rsidR="00680966" w:rsidRPr="000D1665" w:rsidRDefault="00680966" w:rsidP="005976FE">
                  <w:pPr>
                    <w:pStyle w:val="ListParagraph"/>
                    <w:numPr>
                      <w:ilvl w:val="0"/>
                      <w:numId w:val="4"/>
                    </w:numPr>
                    <w:bidi w:val="0"/>
                    <w:spacing w:after="0" w:line="240" w:lineRule="auto"/>
                    <w:ind w:left="370" w:hanging="350"/>
                    <w:rPr>
                      <w:rFonts w:ascii="David" w:hAnsi="David"/>
                      <w:sz w:val="20"/>
                      <w:szCs w:val="20"/>
                    </w:rPr>
                  </w:pPr>
                  <w:r w:rsidRPr="000D1665">
                    <w:rPr>
                      <w:rFonts w:ascii="David" w:hAnsi="David"/>
                      <w:sz w:val="20"/>
                      <w:szCs w:val="20"/>
                    </w:rPr>
                    <w:t>Risk survey</w:t>
                  </w:r>
                </w:p>
                <w:p w14:paraId="0719C354" w14:textId="77777777" w:rsidR="005641F4" w:rsidRPr="005641F4" w:rsidRDefault="00680966" w:rsidP="005976FE">
                  <w:pPr>
                    <w:pStyle w:val="ListParagraph"/>
                    <w:numPr>
                      <w:ilvl w:val="0"/>
                      <w:numId w:val="4"/>
                    </w:numPr>
                    <w:bidi w:val="0"/>
                    <w:spacing w:after="0" w:line="240" w:lineRule="auto"/>
                    <w:ind w:left="370" w:hanging="350"/>
                    <w:rPr>
                      <w:rFonts w:ascii="David" w:hAnsi="David"/>
                      <w:sz w:val="20"/>
                      <w:szCs w:val="20"/>
                    </w:rPr>
                  </w:pPr>
                  <w:r w:rsidRPr="000D1665">
                    <w:rPr>
                      <w:rFonts w:ascii="David" w:eastAsia="MS Mincho" w:hAnsi="David"/>
                      <w:sz w:val="20"/>
                      <w:szCs w:val="20"/>
                    </w:rPr>
                    <w:t>Document, training, statement form that the employees are signed on regarding impartiality</w:t>
                  </w:r>
                </w:p>
                <w:p w14:paraId="4B3C059F" w14:textId="6E247141" w:rsidR="00680966" w:rsidRPr="005641F4" w:rsidRDefault="00680966" w:rsidP="005976FE">
                  <w:pPr>
                    <w:pStyle w:val="ListParagraph"/>
                    <w:numPr>
                      <w:ilvl w:val="0"/>
                      <w:numId w:val="4"/>
                    </w:numPr>
                    <w:bidi w:val="0"/>
                    <w:spacing w:after="0" w:line="240" w:lineRule="auto"/>
                    <w:ind w:left="370" w:hanging="350"/>
                    <w:rPr>
                      <w:rFonts w:ascii="David" w:hAnsi="David"/>
                      <w:sz w:val="20"/>
                      <w:szCs w:val="20"/>
                      <w:rtl/>
                    </w:rPr>
                  </w:pPr>
                  <w:r w:rsidRPr="005641F4">
                    <w:rPr>
                      <w:rFonts w:ascii="David" w:eastAsia="MS Mincho" w:hAnsi="David"/>
                      <w:sz w:val="20"/>
                      <w:szCs w:val="20"/>
                    </w:rPr>
                    <w:t>Reporting any impartiality/conflict of interest in case relevant</w:t>
                  </w:r>
                </w:p>
              </w:tc>
            </w:tr>
            <w:tr w:rsidR="00680966" w:rsidRPr="00805D4E" w14:paraId="4E8DF60B" w14:textId="58B0923B" w:rsidTr="1A719332">
              <w:tc>
                <w:tcPr>
                  <w:tcW w:w="1221" w:type="dxa"/>
                </w:tcPr>
                <w:p w14:paraId="1D121FF3" w14:textId="77777777" w:rsidR="00680966" w:rsidRPr="000D1665" w:rsidRDefault="00680966" w:rsidP="00680966">
                  <w:pPr>
                    <w:rPr>
                      <w:rFonts w:ascii="David" w:hAnsi="David"/>
                      <w:sz w:val="20"/>
                      <w:szCs w:val="20"/>
                      <w:rtl/>
                    </w:rPr>
                  </w:pPr>
                  <w:r w:rsidRPr="000D1665">
                    <w:rPr>
                      <w:rFonts w:ascii="David" w:hAnsi="David"/>
                      <w:sz w:val="20"/>
                      <w:szCs w:val="20"/>
                      <w:rtl/>
                    </w:rPr>
                    <w:t>סודיות</w:t>
                  </w:r>
                </w:p>
                <w:p w14:paraId="0E2C55BB" w14:textId="6181CD86" w:rsidR="00680966" w:rsidRPr="000D1665" w:rsidRDefault="00680966" w:rsidP="00680966">
                  <w:pPr>
                    <w:bidi w:val="0"/>
                    <w:rPr>
                      <w:rFonts w:ascii="David" w:hAnsi="David"/>
                      <w:sz w:val="20"/>
                      <w:szCs w:val="20"/>
                      <w:rtl/>
                    </w:rPr>
                  </w:pPr>
                  <w:r w:rsidRPr="000D1665">
                    <w:rPr>
                      <w:rFonts w:ascii="David" w:hAnsi="David"/>
                      <w:sz w:val="20"/>
                      <w:szCs w:val="20"/>
                    </w:rPr>
                    <w:t>Confidentiality</w:t>
                  </w:r>
                </w:p>
              </w:tc>
              <w:tc>
                <w:tcPr>
                  <w:tcW w:w="3925" w:type="dxa"/>
                </w:tcPr>
                <w:p w14:paraId="55E1B29C" w14:textId="3B71E5F7" w:rsidR="00680966" w:rsidRPr="000D1665" w:rsidRDefault="00680966" w:rsidP="00680966">
                  <w:pPr>
                    <w:rPr>
                      <w:rFonts w:ascii="David" w:hAnsi="David"/>
                      <w:sz w:val="20"/>
                      <w:szCs w:val="20"/>
                      <w:rtl/>
                    </w:rPr>
                  </w:pPr>
                  <w:r w:rsidRPr="000D1665">
                    <w:rPr>
                      <w:rFonts w:ascii="David" w:hAnsi="David"/>
                      <w:sz w:val="20"/>
                      <w:szCs w:val="20"/>
                      <w:rtl/>
                    </w:rPr>
                    <w:t xml:space="preserve">התחייבויות משפטיות של עובדי </w:t>
                  </w:r>
                  <w:r w:rsidR="005641F4">
                    <w:rPr>
                      <w:rFonts w:ascii="David" w:hAnsi="David" w:hint="cs"/>
                      <w:sz w:val="20"/>
                      <w:szCs w:val="20"/>
                      <w:rtl/>
                    </w:rPr>
                    <w:t>הארגון</w:t>
                  </w:r>
                  <w:r w:rsidRPr="000D1665">
                    <w:rPr>
                      <w:rFonts w:ascii="David" w:hAnsi="David"/>
                      <w:sz w:val="20"/>
                      <w:szCs w:val="20"/>
                      <w:rtl/>
                    </w:rPr>
                    <w:t xml:space="preserve"> לשמירת המידע</w:t>
                  </w:r>
                </w:p>
              </w:tc>
              <w:tc>
                <w:tcPr>
                  <w:tcW w:w="3744" w:type="dxa"/>
                </w:tcPr>
                <w:p w14:paraId="08E6C9BD" w14:textId="5CA27486" w:rsidR="00680966" w:rsidRPr="000D1665" w:rsidRDefault="00680966" w:rsidP="005641F4">
                  <w:pPr>
                    <w:bidi w:val="0"/>
                    <w:ind w:right="-178"/>
                    <w:rPr>
                      <w:rFonts w:asciiTheme="minorBidi" w:hAnsiTheme="minorBidi" w:cstheme="minorBidi"/>
                      <w:sz w:val="20"/>
                      <w:szCs w:val="20"/>
                      <w:rtl/>
                    </w:rPr>
                  </w:pPr>
                  <w:r w:rsidRPr="000D1665">
                    <w:rPr>
                      <w:rFonts w:ascii="David" w:hAnsi="David"/>
                      <w:sz w:val="20"/>
                      <w:szCs w:val="20"/>
                    </w:rPr>
                    <w:t>Legal liabilities of the CAB’s employees to keep information</w:t>
                  </w:r>
                </w:p>
              </w:tc>
            </w:tr>
            <w:tr w:rsidR="00680966" w:rsidRPr="00805D4E" w14:paraId="6DEC8026" w14:textId="18D60525" w:rsidTr="1A719332">
              <w:tc>
                <w:tcPr>
                  <w:tcW w:w="1221" w:type="dxa"/>
                </w:tcPr>
                <w:p w14:paraId="2FB10ADC" w14:textId="77777777" w:rsidR="00680966" w:rsidRPr="000D1665" w:rsidRDefault="00680966" w:rsidP="00680966">
                  <w:pPr>
                    <w:rPr>
                      <w:rFonts w:ascii="David" w:hAnsi="David"/>
                      <w:sz w:val="20"/>
                      <w:szCs w:val="20"/>
                      <w:rtl/>
                    </w:rPr>
                  </w:pPr>
                  <w:r w:rsidRPr="000D1665">
                    <w:rPr>
                      <w:rFonts w:ascii="David" w:hAnsi="David"/>
                      <w:sz w:val="20"/>
                      <w:szCs w:val="20"/>
                      <w:rtl/>
                    </w:rPr>
                    <w:t>כ"א</w:t>
                  </w:r>
                </w:p>
                <w:p w14:paraId="3724E900" w14:textId="3FE25865" w:rsidR="00680966" w:rsidRPr="000D1665" w:rsidRDefault="00680966" w:rsidP="00680966">
                  <w:pPr>
                    <w:bidi w:val="0"/>
                    <w:rPr>
                      <w:rFonts w:ascii="David" w:hAnsi="David"/>
                      <w:sz w:val="20"/>
                      <w:szCs w:val="20"/>
                      <w:rtl/>
                    </w:rPr>
                  </w:pPr>
                  <w:r w:rsidRPr="000D1665">
                    <w:rPr>
                      <w:rFonts w:ascii="David" w:hAnsi="David"/>
                      <w:sz w:val="20"/>
                      <w:szCs w:val="20"/>
                    </w:rPr>
                    <w:t>Personnel</w:t>
                  </w:r>
                </w:p>
              </w:tc>
              <w:tc>
                <w:tcPr>
                  <w:tcW w:w="3925" w:type="dxa"/>
                </w:tcPr>
                <w:p w14:paraId="1E0B7926" w14:textId="77777777" w:rsidR="00680966" w:rsidRPr="000D1665" w:rsidRDefault="00680966" w:rsidP="005976FE">
                  <w:pPr>
                    <w:pStyle w:val="ListParagraph"/>
                    <w:numPr>
                      <w:ilvl w:val="0"/>
                      <w:numId w:val="9"/>
                    </w:numPr>
                    <w:spacing w:after="0" w:line="240" w:lineRule="auto"/>
                    <w:ind w:left="504" w:right="-144"/>
                    <w:rPr>
                      <w:rFonts w:ascii="David" w:hAnsi="David" w:cs="David"/>
                      <w:sz w:val="20"/>
                      <w:szCs w:val="20"/>
                    </w:rPr>
                  </w:pPr>
                  <w:r w:rsidRPr="000D1665">
                    <w:rPr>
                      <w:rFonts w:ascii="David" w:hAnsi="David" w:cs="David"/>
                      <w:sz w:val="20"/>
                      <w:szCs w:val="20"/>
                      <w:rtl/>
                    </w:rPr>
                    <w:t>תיעוד השכלה, ידע , ניסיון ודרישות הכשירות לבעלי תפקידים</w:t>
                  </w:r>
                </w:p>
                <w:p w14:paraId="3933599B" w14:textId="77777777" w:rsidR="00680966" w:rsidRPr="000D1665" w:rsidRDefault="00680966" w:rsidP="005976FE">
                  <w:pPr>
                    <w:pStyle w:val="ListParagraph"/>
                    <w:numPr>
                      <w:ilvl w:val="0"/>
                      <w:numId w:val="9"/>
                    </w:numPr>
                    <w:spacing w:after="0" w:line="240" w:lineRule="auto"/>
                    <w:ind w:left="504" w:right="-144"/>
                    <w:rPr>
                      <w:rFonts w:ascii="David" w:hAnsi="David" w:cs="David"/>
                      <w:sz w:val="20"/>
                      <w:szCs w:val="20"/>
                    </w:rPr>
                  </w:pPr>
                  <w:r w:rsidRPr="000D1665">
                    <w:rPr>
                      <w:rFonts w:ascii="David" w:hAnsi="David" w:cs="David"/>
                      <w:sz w:val="20"/>
                      <w:szCs w:val="20"/>
                      <w:rtl/>
                    </w:rPr>
                    <w:t>תיעוד דרישות הדרכות ורשומות בדיקות לשם הכשרת והסמכת כח אדם</w:t>
                  </w:r>
                </w:p>
                <w:p w14:paraId="02016EFF" w14:textId="77777777" w:rsidR="00680966" w:rsidRPr="000D1665" w:rsidRDefault="00680966" w:rsidP="005976FE">
                  <w:pPr>
                    <w:pStyle w:val="ListParagraph"/>
                    <w:numPr>
                      <w:ilvl w:val="0"/>
                      <w:numId w:val="9"/>
                    </w:numPr>
                    <w:spacing w:after="0" w:line="240" w:lineRule="auto"/>
                    <w:ind w:left="504" w:right="-144"/>
                    <w:rPr>
                      <w:rFonts w:ascii="David" w:hAnsi="David" w:cs="David"/>
                      <w:sz w:val="20"/>
                      <w:szCs w:val="20"/>
                    </w:rPr>
                  </w:pPr>
                  <w:r w:rsidRPr="000D1665">
                    <w:rPr>
                      <w:rFonts w:ascii="David" w:hAnsi="David" w:cs="David"/>
                      <w:sz w:val="20"/>
                      <w:szCs w:val="20"/>
                      <w:rtl/>
                    </w:rPr>
                    <w:t>תיעוד הסמכת סגל לפיענוח וניתוח תוצאות</w:t>
                  </w:r>
                </w:p>
                <w:p w14:paraId="0C0BDE65" w14:textId="77777777" w:rsidR="00680966" w:rsidRPr="000D1665" w:rsidRDefault="00680966" w:rsidP="005976FE">
                  <w:pPr>
                    <w:pStyle w:val="ListParagraph"/>
                    <w:numPr>
                      <w:ilvl w:val="0"/>
                      <w:numId w:val="9"/>
                    </w:numPr>
                    <w:spacing w:after="0" w:line="240" w:lineRule="auto"/>
                    <w:ind w:left="504" w:right="-144"/>
                    <w:rPr>
                      <w:rFonts w:ascii="David" w:hAnsi="David" w:cs="David"/>
                      <w:sz w:val="20"/>
                      <w:szCs w:val="20"/>
                    </w:rPr>
                  </w:pPr>
                  <w:r w:rsidRPr="000D1665">
                    <w:rPr>
                      <w:rFonts w:ascii="David" w:hAnsi="David" w:cs="David"/>
                      <w:sz w:val="20"/>
                      <w:szCs w:val="20"/>
                      <w:rtl/>
                    </w:rPr>
                    <w:t>תיעוד הסמכת כ"א לאישור דו"חות</w:t>
                  </w:r>
                </w:p>
                <w:p w14:paraId="3E5F6D2F" w14:textId="77777777" w:rsidR="00680966" w:rsidRPr="000D1665" w:rsidRDefault="00680966" w:rsidP="005976FE">
                  <w:pPr>
                    <w:pStyle w:val="ListParagraph"/>
                    <w:numPr>
                      <w:ilvl w:val="0"/>
                      <w:numId w:val="9"/>
                    </w:numPr>
                    <w:spacing w:after="0" w:line="240" w:lineRule="auto"/>
                    <w:ind w:left="504" w:right="-144"/>
                    <w:rPr>
                      <w:rFonts w:ascii="David" w:hAnsi="David" w:cs="David"/>
                      <w:sz w:val="20"/>
                      <w:szCs w:val="20"/>
                      <w:rtl/>
                    </w:rPr>
                  </w:pPr>
                  <w:r w:rsidRPr="000D1665">
                    <w:rPr>
                      <w:rFonts w:ascii="David" w:hAnsi="David" w:cs="David"/>
                      <w:sz w:val="20"/>
                      <w:szCs w:val="20"/>
                      <w:rtl/>
                    </w:rPr>
                    <w:t>תכנית הדרכה שנתית</w:t>
                  </w:r>
                </w:p>
              </w:tc>
              <w:tc>
                <w:tcPr>
                  <w:tcW w:w="3744" w:type="dxa"/>
                </w:tcPr>
                <w:p w14:paraId="5F5D2D1E" w14:textId="77777777" w:rsidR="00680966" w:rsidRPr="000D1665" w:rsidRDefault="00680966" w:rsidP="005976FE">
                  <w:pPr>
                    <w:pStyle w:val="ListParagraph"/>
                    <w:numPr>
                      <w:ilvl w:val="0"/>
                      <w:numId w:val="10"/>
                    </w:numPr>
                    <w:bidi w:val="0"/>
                    <w:spacing w:after="0" w:line="240" w:lineRule="auto"/>
                    <w:ind w:left="420" w:hanging="420"/>
                    <w:rPr>
                      <w:rFonts w:ascii="David" w:eastAsia="MS Mincho" w:hAnsi="David"/>
                      <w:sz w:val="20"/>
                      <w:szCs w:val="20"/>
                    </w:rPr>
                  </w:pPr>
                  <w:r w:rsidRPr="000D1665">
                    <w:rPr>
                      <w:rFonts w:ascii="David" w:eastAsia="MS Mincho" w:hAnsi="David"/>
                      <w:sz w:val="20"/>
                      <w:szCs w:val="20"/>
                    </w:rPr>
                    <w:t xml:space="preserve">Records related to knowledge, </w:t>
                  </w:r>
                  <w:proofErr w:type="gramStart"/>
                  <w:r w:rsidRPr="000D1665">
                    <w:rPr>
                      <w:rFonts w:ascii="David" w:eastAsia="MS Mincho" w:hAnsi="David"/>
                      <w:sz w:val="20"/>
                      <w:szCs w:val="20"/>
                    </w:rPr>
                    <w:t>experience</w:t>
                  </w:r>
                  <w:proofErr w:type="gramEnd"/>
                  <w:r w:rsidRPr="000D1665">
                    <w:rPr>
                      <w:rFonts w:ascii="David" w:eastAsia="MS Mincho" w:hAnsi="David"/>
                      <w:sz w:val="20"/>
                      <w:szCs w:val="20"/>
                    </w:rPr>
                    <w:t xml:space="preserve"> and competence for the different </w:t>
                  </w:r>
                  <w:proofErr w:type="spellStart"/>
                  <w:r w:rsidRPr="000D1665">
                    <w:rPr>
                      <w:rFonts w:ascii="David" w:eastAsia="MS Mincho" w:hAnsi="David"/>
                      <w:sz w:val="20"/>
                      <w:szCs w:val="20"/>
                    </w:rPr>
                    <w:t>cCAA</w:t>
                  </w:r>
                  <w:proofErr w:type="spellEnd"/>
                  <w:r w:rsidRPr="000D1665">
                    <w:rPr>
                      <w:rFonts w:ascii="David" w:eastAsia="MS Mincho" w:hAnsi="David"/>
                      <w:sz w:val="20"/>
                      <w:szCs w:val="20"/>
                    </w:rPr>
                    <w:t>.</w:t>
                  </w:r>
                </w:p>
                <w:p w14:paraId="1498BC15" w14:textId="77777777" w:rsidR="00680966" w:rsidRPr="000D1665" w:rsidRDefault="00680966" w:rsidP="005976FE">
                  <w:pPr>
                    <w:pStyle w:val="ListParagraph"/>
                    <w:numPr>
                      <w:ilvl w:val="0"/>
                      <w:numId w:val="10"/>
                    </w:numPr>
                    <w:bidi w:val="0"/>
                    <w:spacing w:after="0" w:line="240" w:lineRule="auto"/>
                    <w:ind w:left="370" w:hanging="350"/>
                    <w:rPr>
                      <w:rFonts w:ascii="David" w:eastAsia="MS Mincho" w:hAnsi="David"/>
                      <w:sz w:val="20"/>
                      <w:szCs w:val="20"/>
                    </w:rPr>
                  </w:pPr>
                  <w:r w:rsidRPr="000D1665">
                    <w:rPr>
                      <w:rFonts w:ascii="David" w:eastAsia="MS Mincho" w:hAnsi="David"/>
                      <w:sz w:val="20"/>
                      <w:szCs w:val="20"/>
                    </w:rPr>
                    <w:t>Documentation of requirements for education, knowledge, experience, and competence for different rolls</w:t>
                  </w:r>
                </w:p>
                <w:p w14:paraId="42741F7C" w14:textId="77777777" w:rsidR="00680966" w:rsidRPr="000D1665" w:rsidRDefault="00680966" w:rsidP="005976FE">
                  <w:pPr>
                    <w:pStyle w:val="ListParagraph"/>
                    <w:numPr>
                      <w:ilvl w:val="0"/>
                      <w:numId w:val="10"/>
                    </w:numPr>
                    <w:bidi w:val="0"/>
                    <w:spacing w:after="0" w:line="240" w:lineRule="auto"/>
                    <w:ind w:left="370" w:hanging="350"/>
                    <w:rPr>
                      <w:rFonts w:ascii="David" w:eastAsia="MS Mincho" w:hAnsi="David"/>
                      <w:sz w:val="20"/>
                      <w:szCs w:val="20"/>
                    </w:rPr>
                  </w:pPr>
                  <w:r w:rsidRPr="000D1665">
                    <w:rPr>
                      <w:rFonts w:ascii="David" w:eastAsia="MS Mincho" w:hAnsi="David"/>
                      <w:sz w:val="20"/>
                      <w:szCs w:val="20"/>
                    </w:rPr>
                    <w:t>Documentation of training and testing for qualification of personnel</w:t>
                  </w:r>
                </w:p>
                <w:p w14:paraId="7BE8B82D" w14:textId="77777777" w:rsidR="00680966" w:rsidRPr="000D1665" w:rsidRDefault="00680966" w:rsidP="005976FE">
                  <w:pPr>
                    <w:pStyle w:val="ListParagraph"/>
                    <w:numPr>
                      <w:ilvl w:val="0"/>
                      <w:numId w:val="10"/>
                    </w:numPr>
                    <w:bidi w:val="0"/>
                    <w:spacing w:after="0" w:line="240" w:lineRule="auto"/>
                    <w:ind w:left="370" w:hanging="350"/>
                    <w:rPr>
                      <w:rFonts w:ascii="David" w:eastAsia="MS Mincho" w:hAnsi="David"/>
                      <w:sz w:val="20"/>
                      <w:szCs w:val="20"/>
                    </w:rPr>
                  </w:pPr>
                  <w:r w:rsidRPr="000D1665">
                    <w:rPr>
                      <w:rFonts w:ascii="David" w:eastAsia="MS Mincho" w:hAnsi="David"/>
                      <w:sz w:val="20"/>
                      <w:szCs w:val="20"/>
                    </w:rPr>
                    <w:t>Documentation of qualification of the staff to conduct the CAA, and evaluate the results</w:t>
                  </w:r>
                </w:p>
                <w:p w14:paraId="29EE9846" w14:textId="77777777" w:rsidR="00680966" w:rsidRPr="000D1665" w:rsidRDefault="00680966" w:rsidP="005976FE">
                  <w:pPr>
                    <w:pStyle w:val="ListParagraph"/>
                    <w:numPr>
                      <w:ilvl w:val="0"/>
                      <w:numId w:val="10"/>
                    </w:numPr>
                    <w:bidi w:val="0"/>
                    <w:spacing w:after="0" w:line="240" w:lineRule="auto"/>
                    <w:ind w:left="370" w:hanging="350"/>
                    <w:rPr>
                      <w:rFonts w:ascii="David" w:eastAsia="MS Mincho" w:hAnsi="David"/>
                      <w:sz w:val="20"/>
                      <w:szCs w:val="20"/>
                    </w:rPr>
                  </w:pPr>
                  <w:r w:rsidRPr="000D1665">
                    <w:rPr>
                      <w:rFonts w:ascii="David" w:eastAsia="MS Mincho" w:hAnsi="David"/>
                      <w:sz w:val="20"/>
                      <w:szCs w:val="20"/>
                    </w:rPr>
                    <w:t>Documentation of personnel qualification for reviewed test results and report approval</w:t>
                  </w:r>
                </w:p>
                <w:p w14:paraId="659019BB" w14:textId="41548E12" w:rsidR="00680966" w:rsidRPr="000D1665" w:rsidRDefault="00680966" w:rsidP="00680966">
                  <w:pPr>
                    <w:bidi w:val="0"/>
                    <w:spacing w:line="240" w:lineRule="auto"/>
                    <w:ind w:left="144" w:right="-144"/>
                    <w:rPr>
                      <w:rFonts w:asciiTheme="minorBidi" w:hAnsiTheme="minorBidi"/>
                      <w:sz w:val="20"/>
                      <w:szCs w:val="20"/>
                      <w:rtl/>
                    </w:rPr>
                  </w:pPr>
                  <w:r w:rsidRPr="000D1665">
                    <w:rPr>
                      <w:rFonts w:ascii="David" w:hAnsi="David"/>
                      <w:sz w:val="20"/>
                      <w:szCs w:val="20"/>
                    </w:rPr>
                    <w:t>Yearly training plan</w:t>
                  </w:r>
                </w:p>
              </w:tc>
            </w:tr>
            <w:tr w:rsidR="00680966" w:rsidRPr="00805D4E" w14:paraId="7D431CB3" w14:textId="64380B19" w:rsidTr="1A719332">
              <w:tc>
                <w:tcPr>
                  <w:tcW w:w="1221" w:type="dxa"/>
                </w:tcPr>
                <w:p w14:paraId="05CAA972" w14:textId="77777777" w:rsidR="00680966" w:rsidRPr="000D1665" w:rsidRDefault="00680966" w:rsidP="00680966">
                  <w:pPr>
                    <w:rPr>
                      <w:rFonts w:ascii="David" w:hAnsi="David"/>
                      <w:sz w:val="20"/>
                      <w:szCs w:val="20"/>
                      <w:rtl/>
                    </w:rPr>
                  </w:pPr>
                  <w:r w:rsidRPr="000D1665">
                    <w:rPr>
                      <w:rFonts w:ascii="David" w:hAnsi="David"/>
                      <w:sz w:val="20"/>
                      <w:szCs w:val="20"/>
                      <w:rtl/>
                    </w:rPr>
                    <w:t>ציוד</w:t>
                  </w:r>
                </w:p>
                <w:p w14:paraId="24FD2BCA" w14:textId="65632386" w:rsidR="00680966" w:rsidRPr="000D1665" w:rsidRDefault="00680966" w:rsidP="00680966">
                  <w:pPr>
                    <w:bidi w:val="0"/>
                    <w:rPr>
                      <w:rFonts w:ascii="David" w:hAnsi="David"/>
                      <w:sz w:val="20"/>
                      <w:szCs w:val="20"/>
                    </w:rPr>
                  </w:pPr>
                  <w:r w:rsidRPr="000D1665">
                    <w:rPr>
                      <w:rFonts w:ascii="David" w:hAnsi="David"/>
                      <w:sz w:val="20"/>
                      <w:szCs w:val="20"/>
                    </w:rPr>
                    <w:t>Equipment</w:t>
                  </w:r>
                </w:p>
              </w:tc>
              <w:tc>
                <w:tcPr>
                  <w:tcW w:w="3925" w:type="dxa"/>
                </w:tcPr>
                <w:p w14:paraId="1F85B322" w14:textId="77777777" w:rsidR="00680966" w:rsidRPr="000D1665" w:rsidRDefault="00680966" w:rsidP="005976FE">
                  <w:pPr>
                    <w:pStyle w:val="ListParagraph"/>
                    <w:numPr>
                      <w:ilvl w:val="0"/>
                      <w:numId w:val="15"/>
                    </w:numPr>
                    <w:spacing w:after="0" w:line="240" w:lineRule="auto"/>
                    <w:ind w:right="-144"/>
                    <w:rPr>
                      <w:rFonts w:ascii="David" w:hAnsi="David" w:cs="David"/>
                      <w:sz w:val="20"/>
                      <w:szCs w:val="20"/>
                    </w:rPr>
                  </w:pPr>
                  <w:r w:rsidRPr="000D1665">
                    <w:rPr>
                      <w:rFonts w:ascii="David" w:hAnsi="David" w:cs="David"/>
                      <w:sz w:val="20"/>
                      <w:szCs w:val="20"/>
                      <w:rtl/>
                    </w:rPr>
                    <w:t xml:space="preserve">רשימת ציוד </w:t>
                  </w:r>
                </w:p>
                <w:p w14:paraId="5E8766E7" w14:textId="0B839259" w:rsidR="005641F4" w:rsidRDefault="00680966" w:rsidP="005976FE">
                  <w:pPr>
                    <w:pStyle w:val="ListParagraph"/>
                    <w:numPr>
                      <w:ilvl w:val="0"/>
                      <w:numId w:val="15"/>
                    </w:numPr>
                    <w:spacing w:after="0" w:line="240" w:lineRule="auto"/>
                    <w:ind w:right="-144"/>
                    <w:rPr>
                      <w:rFonts w:ascii="David" w:hAnsi="David" w:cs="David"/>
                      <w:sz w:val="20"/>
                      <w:szCs w:val="20"/>
                    </w:rPr>
                  </w:pPr>
                  <w:r w:rsidRPr="000D1665">
                    <w:rPr>
                      <w:rFonts w:ascii="David" w:hAnsi="David" w:cs="David"/>
                      <w:sz w:val="20"/>
                      <w:szCs w:val="20"/>
                      <w:rtl/>
                    </w:rPr>
                    <w:t>תכנית כיולים</w:t>
                  </w:r>
                </w:p>
                <w:p w14:paraId="1C18C4D0" w14:textId="745791F5" w:rsidR="00680966" w:rsidRPr="005641F4" w:rsidRDefault="60AFD1F3" w:rsidP="005976FE">
                  <w:pPr>
                    <w:pStyle w:val="ListParagraph"/>
                    <w:numPr>
                      <w:ilvl w:val="0"/>
                      <w:numId w:val="15"/>
                    </w:numPr>
                    <w:spacing w:after="0" w:line="240" w:lineRule="auto"/>
                    <w:ind w:right="-144"/>
                    <w:rPr>
                      <w:rFonts w:ascii="David" w:hAnsi="David" w:cs="David"/>
                      <w:sz w:val="20"/>
                      <w:szCs w:val="20"/>
                      <w:rtl/>
                    </w:rPr>
                  </w:pPr>
                  <w:r w:rsidRPr="005641F4">
                    <w:rPr>
                      <w:rFonts w:ascii="David" w:hAnsi="David" w:cs="David"/>
                      <w:sz w:val="20"/>
                      <w:szCs w:val="20"/>
                      <w:rtl/>
                    </w:rPr>
                    <w:t>תעודות כיול</w:t>
                  </w:r>
                  <w:r w:rsidR="7C7DBC24" w:rsidRPr="005641F4">
                    <w:rPr>
                      <w:rFonts w:ascii="David" w:hAnsi="David" w:cs="David"/>
                      <w:sz w:val="20"/>
                      <w:szCs w:val="20"/>
                      <w:rtl/>
                    </w:rPr>
                    <w:t xml:space="preserve"> של מכשור לבדיקות שתוכננו לצפייה במבדק</w:t>
                  </w:r>
                  <w:r w:rsidR="00476092" w:rsidRPr="005641F4">
                    <w:rPr>
                      <w:rFonts w:ascii="David" w:hAnsi="David" w:cs="David" w:hint="cs"/>
                      <w:sz w:val="20"/>
                      <w:szCs w:val="20"/>
                      <w:rtl/>
                    </w:rPr>
                    <w:t xml:space="preserve"> ו</w:t>
                  </w:r>
                  <w:r w:rsidRPr="005641F4">
                    <w:rPr>
                      <w:rFonts w:ascii="David" w:hAnsi="David" w:cs="David"/>
                      <w:sz w:val="20"/>
                      <w:szCs w:val="20"/>
                      <w:rtl/>
                    </w:rPr>
                    <w:t>תיעוד ביצוע בידוקי ביניים של מכשור לבדיקות שתוכננו לצפייה במבדק</w:t>
                  </w:r>
                </w:p>
              </w:tc>
              <w:tc>
                <w:tcPr>
                  <w:tcW w:w="3744" w:type="dxa"/>
                </w:tcPr>
                <w:p w14:paraId="63DB1DCE" w14:textId="77777777" w:rsidR="00680966" w:rsidRPr="000D1665" w:rsidRDefault="00680966" w:rsidP="005976FE">
                  <w:pPr>
                    <w:pStyle w:val="ListParagraph"/>
                    <w:numPr>
                      <w:ilvl w:val="0"/>
                      <w:numId w:val="11"/>
                    </w:numPr>
                    <w:bidi w:val="0"/>
                    <w:spacing w:after="0" w:line="240" w:lineRule="auto"/>
                    <w:ind w:left="240" w:hanging="240"/>
                    <w:rPr>
                      <w:rFonts w:ascii="David" w:eastAsia="MS Mincho" w:hAnsi="David"/>
                      <w:sz w:val="20"/>
                      <w:szCs w:val="20"/>
                    </w:rPr>
                  </w:pPr>
                  <w:r w:rsidRPr="000D1665">
                    <w:rPr>
                      <w:rFonts w:ascii="David" w:eastAsia="MS Mincho" w:hAnsi="David"/>
                      <w:sz w:val="20"/>
                      <w:szCs w:val="20"/>
                    </w:rPr>
                    <w:t>List of equipment used for CAA</w:t>
                  </w:r>
                </w:p>
                <w:p w14:paraId="5F2FCBD1" w14:textId="77777777" w:rsidR="00476092" w:rsidRDefault="00680966" w:rsidP="005976FE">
                  <w:pPr>
                    <w:pStyle w:val="ListParagraph"/>
                    <w:numPr>
                      <w:ilvl w:val="0"/>
                      <w:numId w:val="11"/>
                    </w:numPr>
                    <w:bidi w:val="0"/>
                    <w:spacing w:after="0" w:line="240" w:lineRule="auto"/>
                    <w:ind w:left="370" w:hanging="350"/>
                    <w:rPr>
                      <w:rFonts w:ascii="David" w:eastAsia="MS Mincho" w:hAnsi="David"/>
                      <w:sz w:val="20"/>
                      <w:szCs w:val="20"/>
                    </w:rPr>
                  </w:pPr>
                  <w:r w:rsidRPr="000D1665">
                    <w:rPr>
                      <w:rFonts w:ascii="David" w:eastAsia="MS Mincho" w:hAnsi="David"/>
                      <w:sz w:val="20"/>
                      <w:szCs w:val="20"/>
                    </w:rPr>
                    <w:t>Calibration program</w:t>
                  </w:r>
                </w:p>
                <w:p w14:paraId="550EBB10" w14:textId="01637297" w:rsidR="00680966" w:rsidRPr="00476092" w:rsidRDefault="00680966" w:rsidP="005976FE">
                  <w:pPr>
                    <w:pStyle w:val="ListParagraph"/>
                    <w:numPr>
                      <w:ilvl w:val="0"/>
                      <w:numId w:val="11"/>
                    </w:numPr>
                    <w:bidi w:val="0"/>
                    <w:spacing w:after="0" w:line="240" w:lineRule="auto"/>
                    <w:ind w:left="370" w:hanging="350"/>
                    <w:rPr>
                      <w:rFonts w:ascii="David" w:eastAsia="MS Mincho" w:hAnsi="David"/>
                      <w:sz w:val="20"/>
                      <w:szCs w:val="20"/>
                      <w:rtl/>
                    </w:rPr>
                  </w:pPr>
                  <w:r w:rsidRPr="00476092">
                    <w:rPr>
                      <w:rFonts w:ascii="David" w:eastAsia="MS Mincho" w:hAnsi="David"/>
                      <w:sz w:val="20"/>
                      <w:szCs w:val="20"/>
                    </w:rPr>
                    <w:t>Documentation of calibration certificates, as well as an intermediate check of equipment for the CAA, planned to be viewed or witnessed.</w:t>
                  </w:r>
                </w:p>
              </w:tc>
            </w:tr>
            <w:tr w:rsidR="00680966" w:rsidRPr="00805D4E" w14:paraId="0211B4D4" w14:textId="312B2DC1" w:rsidTr="1A719332">
              <w:tc>
                <w:tcPr>
                  <w:tcW w:w="1221" w:type="dxa"/>
                </w:tcPr>
                <w:p w14:paraId="475434B9" w14:textId="222E1F1C" w:rsidR="00680966" w:rsidRPr="000D1665" w:rsidRDefault="00680966" w:rsidP="00680966">
                  <w:pPr>
                    <w:rPr>
                      <w:rFonts w:ascii="David" w:hAnsi="David"/>
                      <w:sz w:val="20"/>
                      <w:szCs w:val="20"/>
                      <w:rtl/>
                    </w:rPr>
                  </w:pPr>
                  <w:r w:rsidRPr="000D1665">
                    <w:rPr>
                      <w:rFonts w:ascii="David" w:hAnsi="David"/>
                      <w:sz w:val="20"/>
                      <w:szCs w:val="20"/>
                      <w:rtl/>
                    </w:rPr>
                    <w:t xml:space="preserve">ספקים </w:t>
                  </w:r>
                  <w:r w:rsidR="000D1665">
                    <w:rPr>
                      <w:rFonts w:ascii="David" w:hAnsi="David" w:hint="cs"/>
                      <w:sz w:val="20"/>
                      <w:szCs w:val="20"/>
                      <w:rtl/>
                    </w:rPr>
                    <w:t>ו</w:t>
                  </w:r>
                  <w:r w:rsidRPr="000D1665">
                    <w:rPr>
                      <w:rFonts w:ascii="David" w:hAnsi="David"/>
                      <w:sz w:val="20"/>
                      <w:szCs w:val="20"/>
                      <w:rtl/>
                    </w:rPr>
                    <w:t>קבלני משנה</w:t>
                  </w:r>
                </w:p>
                <w:p w14:paraId="12B107A0" w14:textId="2A69FEEB" w:rsidR="00680966" w:rsidRPr="000D1665" w:rsidRDefault="00680966" w:rsidP="00680966">
                  <w:pPr>
                    <w:bidi w:val="0"/>
                    <w:rPr>
                      <w:rFonts w:ascii="David" w:hAnsi="David"/>
                      <w:sz w:val="20"/>
                      <w:szCs w:val="20"/>
                      <w:rtl/>
                    </w:rPr>
                  </w:pPr>
                  <w:r w:rsidRPr="000D1665">
                    <w:rPr>
                      <w:rFonts w:ascii="David" w:hAnsi="David"/>
                      <w:sz w:val="20"/>
                      <w:szCs w:val="20"/>
                    </w:rPr>
                    <w:t>Suppliers and Sub-contractors</w:t>
                  </w:r>
                </w:p>
              </w:tc>
              <w:tc>
                <w:tcPr>
                  <w:tcW w:w="3925" w:type="dxa"/>
                </w:tcPr>
                <w:p w14:paraId="2C7E3DB3" w14:textId="77777777" w:rsidR="00680966" w:rsidRPr="000D1665" w:rsidRDefault="00680966" w:rsidP="005641F4">
                  <w:pPr>
                    <w:rPr>
                      <w:rFonts w:ascii="David" w:hAnsi="David"/>
                      <w:sz w:val="20"/>
                      <w:szCs w:val="20"/>
                      <w:rtl/>
                    </w:rPr>
                  </w:pPr>
                  <w:r w:rsidRPr="000D1665">
                    <w:rPr>
                      <w:rFonts w:ascii="David" w:hAnsi="David"/>
                      <w:sz w:val="20"/>
                      <w:szCs w:val="20"/>
                      <w:rtl/>
                    </w:rPr>
                    <w:t>תיעוד ביצוע סקר הערכת ספקים וניטור קבלני משנה</w:t>
                  </w:r>
                </w:p>
              </w:tc>
              <w:tc>
                <w:tcPr>
                  <w:tcW w:w="3744" w:type="dxa"/>
                </w:tcPr>
                <w:p w14:paraId="60870FE4" w14:textId="1EB0487A" w:rsidR="00680966" w:rsidRPr="000D1665" w:rsidRDefault="00680966" w:rsidP="005641F4">
                  <w:pPr>
                    <w:bidi w:val="0"/>
                    <w:ind w:right="-188"/>
                    <w:rPr>
                      <w:rFonts w:asciiTheme="minorBidi" w:hAnsiTheme="minorBidi" w:cstheme="minorBidi"/>
                      <w:sz w:val="20"/>
                      <w:szCs w:val="20"/>
                      <w:rtl/>
                    </w:rPr>
                  </w:pPr>
                  <w:r w:rsidRPr="000D1665">
                    <w:rPr>
                      <w:rFonts w:ascii="David" w:hAnsi="David"/>
                      <w:sz w:val="20"/>
                      <w:szCs w:val="20"/>
                    </w:rPr>
                    <w:t>Documenting that externally</w:t>
                  </w:r>
                  <w:r w:rsidR="005641F4">
                    <w:rPr>
                      <w:rFonts w:ascii="David" w:hAnsi="David"/>
                      <w:sz w:val="20"/>
                      <w:szCs w:val="20"/>
                    </w:rPr>
                    <w:t xml:space="preserve"> </w:t>
                  </w:r>
                  <w:r w:rsidRPr="000D1665">
                    <w:rPr>
                      <w:rFonts w:ascii="David" w:hAnsi="David"/>
                      <w:sz w:val="20"/>
                      <w:szCs w:val="20"/>
                    </w:rPr>
                    <w:t xml:space="preserve">provided products and services conform to the </w:t>
                  </w:r>
                  <w:r w:rsidR="005641F4">
                    <w:rPr>
                      <w:rFonts w:ascii="David" w:hAnsi="David"/>
                      <w:sz w:val="20"/>
                      <w:szCs w:val="20"/>
                    </w:rPr>
                    <w:t>CAB’s</w:t>
                  </w:r>
                  <w:r w:rsidRPr="000D1665">
                    <w:rPr>
                      <w:rFonts w:ascii="David" w:hAnsi="David"/>
                      <w:sz w:val="20"/>
                      <w:szCs w:val="20"/>
                    </w:rPr>
                    <w:t xml:space="preserve"> established requirements </w:t>
                  </w:r>
                </w:p>
              </w:tc>
            </w:tr>
            <w:tr w:rsidR="00680966" w:rsidRPr="00805D4E" w14:paraId="11129162" w14:textId="3879824F" w:rsidTr="1A719332">
              <w:tc>
                <w:tcPr>
                  <w:tcW w:w="1221" w:type="dxa"/>
                </w:tcPr>
                <w:p w14:paraId="376908F2" w14:textId="77777777" w:rsidR="00680966" w:rsidRPr="000D1665" w:rsidRDefault="00680966" w:rsidP="00680966">
                  <w:pPr>
                    <w:rPr>
                      <w:rFonts w:ascii="David" w:hAnsi="David"/>
                      <w:sz w:val="20"/>
                      <w:szCs w:val="20"/>
                      <w:rtl/>
                    </w:rPr>
                  </w:pPr>
                  <w:r w:rsidRPr="000D1665">
                    <w:rPr>
                      <w:rFonts w:ascii="David" w:hAnsi="David"/>
                      <w:sz w:val="20"/>
                      <w:szCs w:val="20"/>
                      <w:rtl/>
                    </w:rPr>
                    <w:t>חוזים, מכרזים והצעות מחיר</w:t>
                  </w:r>
                </w:p>
                <w:p w14:paraId="7C52D05A" w14:textId="33AC72E3" w:rsidR="00680966" w:rsidRPr="000D1665" w:rsidRDefault="00680966" w:rsidP="00680966">
                  <w:pPr>
                    <w:bidi w:val="0"/>
                    <w:rPr>
                      <w:rFonts w:ascii="David" w:hAnsi="David"/>
                      <w:sz w:val="20"/>
                      <w:szCs w:val="20"/>
                      <w:rtl/>
                    </w:rPr>
                  </w:pPr>
                  <w:r w:rsidRPr="000D1665">
                    <w:rPr>
                      <w:rFonts w:ascii="David" w:hAnsi="David"/>
                      <w:sz w:val="20"/>
                      <w:szCs w:val="20"/>
                    </w:rPr>
                    <w:t>Contracts, tenders, and quotes</w:t>
                  </w:r>
                </w:p>
              </w:tc>
              <w:tc>
                <w:tcPr>
                  <w:tcW w:w="3925" w:type="dxa"/>
                </w:tcPr>
                <w:p w14:paraId="100FF467" w14:textId="77777777" w:rsidR="00680966" w:rsidRPr="000D1665" w:rsidRDefault="00680966" w:rsidP="00680966">
                  <w:pPr>
                    <w:ind w:right="720"/>
                    <w:rPr>
                      <w:rFonts w:ascii="David" w:hAnsi="David"/>
                      <w:sz w:val="20"/>
                      <w:szCs w:val="20"/>
                      <w:rtl/>
                    </w:rPr>
                  </w:pPr>
                  <w:r w:rsidRPr="000D1665">
                    <w:rPr>
                      <w:rFonts w:ascii="David" w:hAnsi="David"/>
                      <w:sz w:val="20"/>
                      <w:szCs w:val="20"/>
                      <w:rtl/>
                    </w:rPr>
                    <w:t>1. סקר לביצוע בדיקה עבור תאגיד או גוף ציבורי</w:t>
                  </w:r>
                </w:p>
                <w:p w14:paraId="4F1FC698" w14:textId="77777777" w:rsidR="00680966" w:rsidRPr="000D1665" w:rsidRDefault="00680966" w:rsidP="00680966">
                  <w:pPr>
                    <w:ind w:right="720"/>
                    <w:rPr>
                      <w:rFonts w:ascii="David" w:hAnsi="David"/>
                      <w:sz w:val="20"/>
                      <w:szCs w:val="20"/>
                      <w:rtl/>
                    </w:rPr>
                  </w:pPr>
                  <w:r w:rsidRPr="000D1665">
                    <w:rPr>
                      <w:rFonts w:ascii="David" w:hAnsi="David"/>
                      <w:sz w:val="20"/>
                      <w:szCs w:val="20"/>
                      <w:rtl/>
                    </w:rPr>
                    <w:t>2. סקר לביצוע בדיקה עבור לקוח פרטי</w:t>
                  </w:r>
                </w:p>
              </w:tc>
              <w:tc>
                <w:tcPr>
                  <w:tcW w:w="3744" w:type="dxa"/>
                </w:tcPr>
                <w:p w14:paraId="25A3FE00" w14:textId="77777777" w:rsidR="00680966" w:rsidRPr="000D1665" w:rsidRDefault="00680966" w:rsidP="005976FE">
                  <w:pPr>
                    <w:pStyle w:val="ListParagraph"/>
                    <w:numPr>
                      <w:ilvl w:val="0"/>
                      <w:numId w:val="12"/>
                    </w:numPr>
                    <w:bidi w:val="0"/>
                    <w:spacing w:after="0" w:line="240" w:lineRule="auto"/>
                    <w:ind w:left="240" w:hanging="180"/>
                    <w:rPr>
                      <w:rFonts w:ascii="David" w:eastAsia="MS Mincho" w:hAnsi="David"/>
                      <w:sz w:val="20"/>
                      <w:szCs w:val="20"/>
                    </w:rPr>
                  </w:pPr>
                  <w:r w:rsidRPr="000D1665">
                    <w:rPr>
                      <w:rFonts w:ascii="David" w:eastAsia="MS Mincho" w:hAnsi="David"/>
                      <w:sz w:val="20"/>
                      <w:szCs w:val="20"/>
                    </w:rPr>
                    <w:t>Contract review for conducting a CAA for a public corporate or authority</w:t>
                  </w:r>
                </w:p>
                <w:p w14:paraId="2888DA6E" w14:textId="0D022076" w:rsidR="00680966" w:rsidRPr="000D1665" w:rsidRDefault="00680966" w:rsidP="005976FE">
                  <w:pPr>
                    <w:pStyle w:val="ListParagraph"/>
                    <w:numPr>
                      <w:ilvl w:val="0"/>
                      <w:numId w:val="12"/>
                    </w:numPr>
                    <w:bidi w:val="0"/>
                    <w:spacing w:after="0" w:line="240" w:lineRule="auto"/>
                    <w:ind w:left="240" w:hanging="180"/>
                    <w:rPr>
                      <w:rFonts w:ascii="David" w:eastAsia="MS Mincho" w:hAnsi="David"/>
                      <w:sz w:val="20"/>
                      <w:szCs w:val="20"/>
                      <w:rtl/>
                    </w:rPr>
                  </w:pPr>
                  <w:r w:rsidRPr="000D1665">
                    <w:rPr>
                      <w:rFonts w:ascii="David" w:eastAsia="MS Mincho" w:hAnsi="David"/>
                      <w:sz w:val="20"/>
                      <w:szCs w:val="20"/>
                    </w:rPr>
                    <w:t>Contract review for conducting a CAA for a private customer</w:t>
                  </w:r>
                </w:p>
              </w:tc>
            </w:tr>
            <w:tr w:rsidR="00680966" w:rsidRPr="00805D4E" w14:paraId="1C2D83FE" w14:textId="25307D9D" w:rsidTr="1A719332">
              <w:tc>
                <w:tcPr>
                  <w:tcW w:w="1221" w:type="dxa"/>
                </w:tcPr>
                <w:p w14:paraId="017DA408" w14:textId="77777777" w:rsidR="00680966" w:rsidRPr="000D1665" w:rsidRDefault="00680966" w:rsidP="00680966">
                  <w:pPr>
                    <w:rPr>
                      <w:rFonts w:ascii="David" w:hAnsi="David"/>
                      <w:sz w:val="20"/>
                      <w:szCs w:val="20"/>
                      <w:rtl/>
                    </w:rPr>
                  </w:pPr>
                  <w:r w:rsidRPr="000D1665">
                    <w:rPr>
                      <w:rFonts w:ascii="David" w:hAnsi="David"/>
                      <w:sz w:val="20"/>
                      <w:szCs w:val="20"/>
                      <w:rtl/>
                    </w:rPr>
                    <w:t>הבטחת איכות התוצאה</w:t>
                  </w:r>
                </w:p>
                <w:p w14:paraId="1060201D" w14:textId="4C0A84CC" w:rsidR="00680966" w:rsidRPr="000D1665" w:rsidRDefault="00680966" w:rsidP="00680966">
                  <w:pPr>
                    <w:bidi w:val="0"/>
                    <w:rPr>
                      <w:rFonts w:ascii="David" w:hAnsi="David"/>
                      <w:sz w:val="20"/>
                      <w:szCs w:val="20"/>
                      <w:rtl/>
                    </w:rPr>
                  </w:pPr>
                  <w:r w:rsidRPr="000D1665">
                    <w:rPr>
                      <w:rFonts w:ascii="David" w:hAnsi="David"/>
                      <w:sz w:val="20"/>
                      <w:szCs w:val="20"/>
                    </w:rPr>
                    <w:t>Result quality assurance</w:t>
                  </w:r>
                </w:p>
              </w:tc>
              <w:tc>
                <w:tcPr>
                  <w:tcW w:w="3925" w:type="dxa"/>
                </w:tcPr>
                <w:p w14:paraId="227BA8A8" w14:textId="3D6E4328" w:rsidR="00680966" w:rsidRPr="000D1665" w:rsidRDefault="00476092" w:rsidP="31E14189">
                  <w:pPr>
                    <w:ind w:right="720"/>
                    <w:rPr>
                      <w:rFonts w:ascii="David" w:hAnsi="David"/>
                      <w:sz w:val="20"/>
                      <w:szCs w:val="20"/>
                      <w:rtl/>
                    </w:rPr>
                  </w:pPr>
                  <w:r>
                    <w:rPr>
                      <w:rFonts w:ascii="David" w:hAnsi="David" w:hint="cs"/>
                      <w:sz w:val="20"/>
                      <w:szCs w:val="20"/>
                      <w:rtl/>
                    </w:rPr>
                    <w:t xml:space="preserve">1. </w:t>
                  </w:r>
                  <w:r w:rsidR="41050598" w:rsidRPr="31E14189">
                    <w:rPr>
                      <w:rFonts w:ascii="David" w:hAnsi="David"/>
                      <w:sz w:val="20"/>
                      <w:szCs w:val="20"/>
                      <w:rtl/>
                    </w:rPr>
                    <w:t>תכנית להבטחת איכות תוצאות</w:t>
                  </w:r>
                </w:p>
                <w:p w14:paraId="52BCC543" w14:textId="42C1EC7B" w:rsidR="00680966" w:rsidRPr="000D1665" w:rsidRDefault="41050598" w:rsidP="00680966">
                  <w:pPr>
                    <w:ind w:right="720"/>
                    <w:rPr>
                      <w:rFonts w:ascii="David" w:hAnsi="David"/>
                      <w:sz w:val="20"/>
                      <w:szCs w:val="20"/>
                      <w:rtl/>
                    </w:rPr>
                  </w:pPr>
                  <w:r w:rsidRPr="31E14189">
                    <w:rPr>
                      <w:rFonts w:ascii="David" w:hAnsi="David"/>
                      <w:sz w:val="20"/>
                      <w:szCs w:val="20"/>
                      <w:rtl/>
                    </w:rPr>
                    <w:t xml:space="preserve">2. </w:t>
                  </w:r>
                  <w:r w:rsidR="60AFD1F3" w:rsidRPr="31E14189">
                    <w:rPr>
                      <w:rFonts w:ascii="David" w:hAnsi="David"/>
                      <w:sz w:val="20"/>
                      <w:szCs w:val="20"/>
                      <w:rtl/>
                    </w:rPr>
                    <w:t>ראיות להשתתפות במבחן מיומנות בלתי תלוי</w:t>
                  </w:r>
                </w:p>
                <w:p w14:paraId="2EE8752E" w14:textId="0F1B45A5" w:rsidR="00680966" w:rsidRPr="000D1665" w:rsidRDefault="151FF6FF" w:rsidP="00680966">
                  <w:pPr>
                    <w:ind w:right="720"/>
                    <w:rPr>
                      <w:rFonts w:ascii="David" w:hAnsi="David"/>
                      <w:sz w:val="20"/>
                      <w:szCs w:val="20"/>
                      <w:rtl/>
                    </w:rPr>
                  </w:pPr>
                  <w:r w:rsidRPr="31E14189">
                    <w:rPr>
                      <w:rFonts w:ascii="David" w:hAnsi="David"/>
                      <w:sz w:val="20"/>
                      <w:szCs w:val="20"/>
                      <w:rtl/>
                    </w:rPr>
                    <w:t>3</w:t>
                  </w:r>
                  <w:r w:rsidR="60AFD1F3" w:rsidRPr="31E14189">
                    <w:rPr>
                      <w:rFonts w:ascii="David" w:hAnsi="David"/>
                      <w:sz w:val="20"/>
                      <w:szCs w:val="20"/>
                    </w:rPr>
                    <w:t xml:space="preserve">. </w:t>
                  </w:r>
                  <w:r w:rsidR="60AFD1F3" w:rsidRPr="31E14189">
                    <w:rPr>
                      <w:rFonts w:ascii="David" w:hAnsi="David"/>
                      <w:sz w:val="20"/>
                      <w:szCs w:val="20"/>
                      <w:rtl/>
                    </w:rPr>
                    <w:t>בדיקות השוואה בין מעבדתיות</w:t>
                  </w:r>
                </w:p>
                <w:p w14:paraId="26E43762" w14:textId="244B8384" w:rsidR="00680966" w:rsidRPr="000D1665" w:rsidRDefault="1F0F7EB7" w:rsidP="00680966">
                  <w:pPr>
                    <w:ind w:right="720"/>
                    <w:rPr>
                      <w:rFonts w:ascii="David" w:hAnsi="David"/>
                      <w:sz w:val="20"/>
                      <w:szCs w:val="20"/>
                      <w:rtl/>
                    </w:rPr>
                  </w:pPr>
                  <w:r w:rsidRPr="31E14189">
                    <w:rPr>
                      <w:rFonts w:ascii="David" w:hAnsi="David"/>
                      <w:sz w:val="20"/>
                      <w:szCs w:val="20"/>
                      <w:rtl/>
                    </w:rPr>
                    <w:t>4</w:t>
                  </w:r>
                  <w:r w:rsidR="60AFD1F3" w:rsidRPr="31E14189">
                    <w:rPr>
                      <w:rFonts w:ascii="David" w:hAnsi="David"/>
                      <w:sz w:val="20"/>
                      <w:szCs w:val="20"/>
                    </w:rPr>
                    <w:t xml:space="preserve">. </w:t>
                  </w:r>
                  <w:r w:rsidR="60AFD1F3" w:rsidRPr="31E14189">
                    <w:rPr>
                      <w:rFonts w:ascii="David" w:hAnsi="David"/>
                      <w:sz w:val="20"/>
                      <w:szCs w:val="20"/>
                      <w:rtl/>
                    </w:rPr>
                    <w:t>בדיקות השוואה בין בודקים</w:t>
                  </w:r>
                </w:p>
              </w:tc>
              <w:tc>
                <w:tcPr>
                  <w:tcW w:w="3744" w:type="dxa"/>
                </w:tcPr>
                <w:p w14:paraId="4E828B3A" w14:textId="189EA03B" w:rsidR="00476092" w:rsidRDefault="00476092" w:rsidP="005976FE">
                  <w:pPr>
                    <w:pStyle w:val="ListParagraph"/>
                    <w:numPr>
                      <w:ilvl w:val="0"/>
                      <w:numId w:val="13"/>
                    </w:numPr>
                    <w:bidi w:val="0"/>
                    <w:spacing w:line="240" w:lineRule="auto"/>
                    <w:ind w:left="240" w:hanging="240"/>
                    <w:rPr>
                      <w:rFonts w:ascii="David" w:eastAsia="MS Mincho" w:hAnsi="David"/>
                      <w:sz w:val="20"/>
                      <w:szCs w:val="20"/>
                    </w:rPr>
                  </w:pPr>
                  <w:r>
                    <w:rPr>
                      <w:rFonts w:ascii="David" w:eastAsia="MS Mincho" w:hAnsi="David"/>
                      <w:sz w:val="20"/>
                      <w:szCs w:val="20"/>
                    </w:rPr>
                    <w:t>Plan for results quality assurance</w:t>
                  </w:r>
                </w:p>
                <w:p w14:paraId="4C9B6A4C" w14:textId="67414860" w:rsidR="00680966" w:rsidRPr="000D1665" w:rsidRDefault="00680966" w:rsidP="005976FE">
                  <w:pPr>
                    <w:pStyle w:val="ListParagraph"/>
                    <w:numPr>
                      <w:ilvl w:val="0"/>
                      <w:numId w:val="13"/>
                    </w:numPr>
                    <w:bidi w:val="0"/>
                    <w:spacing w:line="240" w:lineRule="auto"/>
                    <w:ind w:left="240" w:hanging="240"/>
                    <w:rPr>
                      <w:rFonts w:ascii="David" w:eastAsia="MS Mincho" w:hAnsi="David"/>
                      <w:sz w:val="20"/>
                      <w:szCs w:val="20"/>
                    </w:rPr>
                  </w:pPr>
                  <w:r w:rsidRPr="000D1665">
                    <w:rPr>
                      <w:rFonts w:ascii="David" w:eastAsia="MS Mincho" w:hAnsi="David"/>
                      <w:sz w:val="20"/>
                      <w:szCs w:val="20"/>
                    </w:rPr>
                    <w:t>Evidence for participation in PT, or</w:t>
                  </w:r>
                </w:p>
                <w:p w14:paraId="6ABA3ABD" w14:textId="77777777" w:rsidR="00476092" w:rsidRDefault="00680966" w:rsidP="005976FE">
                  <w:pPr>
                    <w:pStyle w:val="ListParagraph"/>
                    <w:numPr>
                      <w:ilvl w:val="0"/>
                      <w:numId w:val="13"/>
                    </w:numPr>
                    <w:bidi w:val="0"/>
                    <w:spacing w:line="240" w:lineRule="auto"/>
                    <w:ind w:left="240" w:hanging="240"/>
                    <w:rPr>
                      <w:rFonts w:ascii="David" w:eastAsia="MS Mincho" w:hAnsi="David"/>
                      <w:sz w:val="20"/>
                      <w:szCs w:val="20"/>
                    </w:rPr>
                  </w:pPr>
                  <w:r w:rsidRPr="000D1665">
                    <w:rPr>
                      <w:rFonts w:ascii="David" w:eastAsia="MS Mincho" w:hAnsi="David"/>
                      <w:sz w:val="20"/>
                      <w:szCs w:val="20"/>
                    </w:rPr>
                    <w:t>ILC between laboratories</w:t>
                  </w:r>
                </w:p>
                <w:p w14:paraId="504FA6BB" w14:textId="1B7175A0" w:rsidR="00680966" w:rsidRPr="00476092" w:rsidRDefault="00680966" w:rsidP="005976FE">
                  <w:pPr>
                    <w:pStyle w:val="ListParagraph"/>
                    <w:numPr>
                      <w:ilvl w:val="0"/>
                      <w:numId w:val="13"/>
                    </w:numPr>
                    <w:bidi w:val="0"/>
                    <w:spacing w:line="240" w:lineRule="auto"/>
                    <w:ind w:left="240" w:hanging="240"/>
                    <w:rPr>
                      <w:rFonts w:ascii="David" w:eastAsia="MS Mincho" w:hAnsi="David"/>
                      <w:sz w:val="20"/>
                      <w:szCs w:val="20"/>
                      <w:rtl/>
                    </w:rPr>
                  </w:pPr>
                  <w:r w:rsidRPr="00476092">
                    <w:rPr>
                      <w:rFonts w:ascii="David" w:eastAsia="MS Mincho" w:hAnsi="David"/>
                      <w:sz w:val="20"/>
                      <w:szCs w:val="20"/>
                    </w:rPr>
                    <w:t xml:space="preserve">Comparison testing </w:t>
                  </w:r>
                </w:p>
              </w:tc>
            </w:tr>
            <w:tr w:rsidR="00680966" w:rsidRPr="00805D4E" w14:paraId="53E23897" w14:textId="1ABC44B4" w:rsidTr="1A719332">
              <w:tc>
                <w:tcPr>
                  <w:tcW w:w="1221" w:type="dxa"/>
                </w:tcPr>
                <w:p w14:paraId="1AC9E045" w14:textId="77777777" w:rsidR="00680966" w:rsidRPr="000D1665" w:rsidRDefault="00680966" w:rsidP="00680966">
                  <w:pPr>
                    <w:rPr>
                      <w:rFonts w:ascii="David" w:hAnsi="David"/>
                      <w:sz w:val="20"/>
                      <w:szCs w:val="20"/>
                      <w:rtl/>
                    </w:rPr>
                  </w:pPr>
                  <w:r w:rsidRPr="000D1665">
                    <w:rPr>
                      <w:rFonts w:ascii="David" w:hAnsi="David"/>
                      <w:sz w:val="20"/>
                      <w:szCs w:val="20"/>
                      <w:rtl/>
                    </w:rPr>
                    <w:t xml:space="preserve">פעולות מתקנות </w:t>
                  </w:r>
                </w:p>
                <w:p w14:paraId="192D7580" w14:textId="24B6B636" w:rsidR="00680966" w:rsidRPr="000D1665" w:rsidRDefault="00680966" w:rsidP="00680966">
                  <w:pPr>
                    <w:bidi w:val="0"/>
                    <w:rPr>
                      <w:rFonts w:ascii="David" w:hAnsi="David"/>
                      <w:sz w:val="20"/>
                      <w:szCs w:val="20"/>
                    </w:rPr>
                  </w:pPr>
                  <w:r w:rsidRPr="000D1665">
                    <w:rPr>
                      <w:rFonts w:ascii="David" w:hAnsi="David"/>
                      <w:sz w:val="20"/>
                      <w:szCs w:val="20"/>
                    </w:rPr>
                    <w:t>Corrective actions</w:t>
                  </w:r>
                </w:p>
              </w:tc>
              <w:tc>
                <w:tcPr>
                  <w:tcW w:w="3925" w:type="dxa"/>
                </w:tcPr>
                <w:p w14:paraId="00017B42" w14:textId="77777777" w:rsidR="00680966" w:rsidRPr="000D1665" w:rsidRDefault="00680966" w:rsidP="00680966">
                  <w:pPr>
                    <w:ind w:right="720"/>
                    <w:rPr>
                      <w:rFonts w:ascii="David" w:hAnsi="David"/>
                      <w:sz w:val="20"/>
                      <w:szCs w:val="20"/>
                      <w:rtl/>
                    </w:rPr>
                  </w:pPr>
                  <w:r w:rsidRPr="000D1665">
                    <w:rPr>
                      <w:rFonts w:ascii="David" w:hAnsi="David"/>
                      <w:sz w:val="20"/>
                      <w:szCs w:val="20"/>
                      <w:rtl/>
                    </w:rPr>
                    <w:t xml:space="preserve">יומן פעולות מתקנות </w:t>
                  </w:r>
                </w:p>
              </w:tc>
              <w:tc>
                <w:tcPr>
                  <w:tcW w:w="3744" w:type="dxa"/>
                </w:tcPr>
                <w:p w14:paraId="43A46F07" w14:textId="5D12FD0A" w:rsidR="00680966" w:rsidRPr="000D1665" w:rsidRDefault="00680966" w:rsidP="00680966">
                  <w:pPr>
                    <w:bidi w:val="0"/>
                    <w:ind w:right="720"/>
                    <w:rPr>
                      <w:rFonts w:asciiTheme="minorBidi" w:hAnsiTheme="minorBidi" w:cstheme="minorBidi"/>
                      <w:sz w:val="20"/>
                      <w:szCs w:val="20"/>
                      <w:rtl/>
                    </w:rPr>
                  </w:pPr>
                  <w:r w:rsidRPr="000D1665">
                    <w:rPr>
                      <w:rFonts w:ascii="David" w:hAnsi="David"/>
                      <w:sz w:val="20"/>
                      <w:szCs w:val="20"/>
                    </w:rPr>
                    <w:t>Corrective action log</w:t>
                  </w:r>
                </w:p>
              </w:tc>
            </w:tr>
            <w:tr w:rsidR="00680966" w:rsidRPr="00805D4E" w14:paraId="758F61E8" w14:textId="16443DE1" w:rsidTr="1A719332">
              <w:tc>
                <w:tcPr>
                  <w:tcW w:w="1221" w:type="dxa"/>
                </w:tcPr>
                <w:p w14:paraId="0D560412" w14:textId="77777777" w:rsidR="00680966" w:rsidRPr="000D1665" w:rsidRDefault="00680966" w:rsidP="00680966">
                  <w:pPr>
                    <w:rPr>
                      <w:rFonts w:ascii="David" w:hAnsi="David"/>
                      <w:sz w:val="20"/>
                      <w:szCs w:val="20"/>
                      <w:rtl/>
                    </w:rPr>
                  </w:pPr>
                  <w:r w:rsidRPr="000D1665">
                    <w:rPr>
                      <w:rFonts w:ascii="David" w:hAnsi="David"/>
                      <w:sz w:val="20"/>
                      <w:szCs w:val="20"/>
                      <w:rtl/>
                    </w:rPr>
                    <w:t>מבדקים פנימיים</w:t>
                  </w:r>
                </w:p>
                <w:p w14:paraId="28A1D9BE" w14:textId="1F261954" w:rsidR="00680966" w:rsidRPr="000D1665" w:rsidRDefault="00680966" w:rsidP="00680966">
                  <w:pPr>
                    <w:bidi w:val="0"/>
                    <w:rPr>
                      <w:rFonts w:ascii="David" w:hAnsi="David"/>
                      <w:sz w:val="20"/>
                      <w:szCs w:val="20"/>
                      <w:rtl/>
                    </w:rPr>
                  </w:pPr>
                  <w:r w:rsidRPr="000D1665">
                    <w:rPr>
                      <w:rFonts w:ascii="David" w:hAnsi="David"/>
                      <w:sz w:val="20"/>
                      <w:szCs w:val="20"/>
                    </w:rPr>
                    <w:t>Internal Audits</w:t>
                  </w:r>
                </w:p>
              </w:tc>
              <w:tc>
                <w:tcPr>
                  <w:tcW w:w="3925" w:type="dxa"/>
                </w:tcPr>
                <w:p w14:paraId="642B0A0A" w14:textId="77777777" w:rsidR="00680966" w:rsidRPr="000D1665" w:rsidRDefault="00680966" w:rsidP="00680966">
                  <w:pPr>
                    <w:ind w:right="720"/>
                    <w:rPr>
                      <w:rFonts w:ascii="David" w:hAnsi="David"/>
                      <w:sz w:val="20"/>
                      <w:szCs w:val="20"/>
                      <w:rtl/>
                    </w:rPr>
                  </w:pPr>
                  <w:r w:rsidRPr="000D1665">
                    <w:rPr>
                      <w:rFonts w:ascii="David" w:hAnsi="David"/>
                      <w:sz w:val="20"/>
                      <w:szCs w:val="20"/>
                      <w:rtl/>
                    </w:rPr>
                    <w:t>1. תיעוד מבדק פנימי – מערכת הניהול</w:t>
                  </w:r>
                </w:p>
                <w:p w14:paraId="262A1F77" w14:textId="2F024E4F" w:rsidR="00680966" w:rsidRPr="000D1665" w:rsidRDefault="00476092" w:rsidP="31E14189">
                  <w:pPr>
                    <w:ind w:right="720"/>
                    <w:rPr>
                      <w:rFonts w:ascii="David" w:hAnsi="David"/>
                      <w:sz w:val="20"/>
                      <w:szCs w:val="20"/>
                      <w:rtl/>
                    </w:rPr>
                  </w:pPr>
                  <w:r>
                    <w:rPr>
                      <w:rFonts w:ascii="David" w:hAnsi="David" w:hint="cs"/>
                      <w:sz w:val="20"/>
                      <w:szCs w:val="20"/>
                      <w:rtl/>
                    </w:rPr>
                    <w:t xml:space="preserve">2. </w:t>
                  </w:r>
                  <w:r w:rsidR="60AFD1F3" w:rsidRPr="31E14189">
                    <w:rPr>
                      <w:rFonts w:ascii="David" w:hAnsi="David"/>
                      <w:sz w:val="20"/>
                      <w:szCs w:val="20"/>
                      <w:rtl/>
                    </w:rPr>
                    <w:t>תיעוד מבדק פנימי מקצועי</w:t>
                  </w:r>
                </w:p>
                <w:p w14:paraId="622D0E6D" w14:textId="390E0222" w:rsidR="00680966" w:rsidRPr="000D1665" w:rsidRDefault="3B22A156" w:rsidP="31E14189">
                  <w:pPr>
                    <w:ind w:right="720"/>
                    <w:rPr>
                      <w:rFonts w:eastAsia="Times New Roman"/>
                      <w:szCs w:val="22"/>
                      <w:rtl/>
                    </w:rPr>
                  </w:pPr>
                  <w:r w:rsidRPr="31E14189">
                    <w:rPr>
                      <w:rFonts w:ascii="David" w:eastAsia="Times New Roman" w:hAnsi="David"/>
                      <w:sz w:val="20"/>
                      <w:szCs w:val="20"/>
                      <w:rtl/>
                    </w:rPr>
                    <w:t>3. תיעוד טיפול בממצאי המבדק</w:t>
                  </w:r>
                </w:p>
              </w:tc>
              <w:tc>
                <w:tcPr>
                  <w:tcW w:w="3744" w:type="dxa"/>
                </w:tcPr>
                <w:p w14:paraId="7CF81C3B" w14:textId="77777777" w:rsidR="00680966" w:rsidRPr="000D1665" w:rsidRDefault="00680966" w:rsidP="005976FE">
                  <w:pPr>
                    <w:pStyle w:val="ListParagraph"/>
                    <w:numPr>
                      <w:ilvl w:val="0"/>
                      <w:numId w:val="14"/>
                    </w:numPr>
                    <w:bidi w:val="0"/>
                    <w:spacing w:line="240" w:lineRule="auto"/>
                    <w:ind w:left="240" w:hanging="240"/>
                    <w:rPr>
                      <w:rFonts w:ascii="David" w:eastAsia="MS Mincho" w:hAnsi="David"/>
                      <w:sz w:val="20"/>
                      <w:szCs w:val="20"/>
                    </w:rPr>
                  </w:pPr>
                  <w:r w:rsidRPr="000D1665">
                    <w:rPr>
                      <w:rFonts w:ascii="David" w:eastAsia="MS Mincho" w:hAnsi="David"/>
                      <w:sz w:val="20"/>
                      <w:szCs w:val="20"/>
                    </w:rPr>
                    <w:t>Documentation and records of internal audits – management system</w:t>
                  </w:r>
                </w:p>
                <w:p w14:paraId="25DFD814" w14:textId="77777777" w:rsidR="00680966" w:rsidRDefault="00680966" w:rsidP="005976FE">
                  <w:pPr>
                    <w:pStyle w:val="ListParagraph"/>
                    <w:numPr>
                      <w:ilvl w:val="0"/>
                      <w:numId w:val="14"/>
                    </w:numPr>
                    <w:bidi w:val="0"/>
                    <w:spacing w:line="240" w:lineRule="auto"/>
                    <w:ind w:left="240" w:hanging="240"/>
                    <w:rPr>
                      <w:rFonts w:ascii="David" w:eastAsia="MS Mincho" w:hAnsi="David"/>
                      <w:sz w:val="20"/>
                      <w:szCs w:val="20"/>
                    </w:rPr>
                  </w:pPr>
                  <w:r w:rsidRPr="000D1665">
                    <w:rPr>
                      <w:rFonts w:ascii="David" w:eastAsia="MS Mincho" w:hAnsi="David"/>
                      <w:sz w:val="20"/>
                      <w:szCs w:val="20"/>
                    </w:rPr>
                    <w:t>Documentation and records of technical internal audits</w:t>
                  </w:r>
                </w:p>
                <w:p w14:paraId="5306AE83" w14:textId="0B09B96D" w:rsidR="00476092" w:rsidRPr="000D1665" w:rsidRDefault="00476092" w:rsidP="005976FE">
                  <w:pPr>
                    <w:pStyle w:val="ListParagraph"/>
                    <w:numPr>
                      <w:ilvl w:val="0"/>
                      <w:numId w:val="14"/>
                    </w:numPr>
                    <w:bidi w:val="0"/>
                    <w:spacing w:line="240" w:lineRule="auto"/>
                    <w:ind w:left="240" w:hanging="240"/>
                    <w:rPr>
                      <w:rFonts w:ascii="David" w:eastAsia="MS Mincho" w:hAnsi="David"/>
                      <w:sz w:val="20"/>
                      <w:szCs w:val="20"/>
                      <w:rtl/>
                    </w:rPr>
                  </w:pPr>
                  <w:r>
                    <w:rPr>
                      <w:rFonts w:ascii="David" w:eastAsia="MS Mincho" w:hAnsi="David"/>
                      <w:sz w:val="20"/>
                      <w:szCs w:val="20"/>
                    </w:rPr>
                    <w:t>Documentation of handling any assessment non-conformities</w:t>
                  </w:r>
                </w:p>
              </w:tc>
            </w:tr>
            <w:tr w:rsidR="00805D4E" w:rsidRPr="00805D4E" w14:paraId="58889322" w14:textId="4261C642" w:rsidTr="1A719332">
              <w:tc>
                <w:tcPr>
                  <w:tcW w:w="1221" w:type="dxa"/>
                </w:tcPr>
                <w:p w14:paraId="74EF75E5" w14:textId="77777777" w:rsidR="00805D4E" w:rsidRPr="000D1665" w:rsidRDefault="00805D4E" w:rsidP="00805D4E">
                  <w:pPr>
                    <w:rPr>
                      <w:rFonts w:ascii="David" w:hAnsi="David"/>
                      <w:sz w:val="20"/>
                      <w:szCs w:val="20"/>
                      <w:rtl/>
                    </w:rPr>
                  </w:pPr>
                  <w:r w:rsidRPr="000D1665">
                    <w:rPr>
                      <w:rFonts w:ascii="David" w:hAnsi="David"/>
                      <w:sz w:val="20"/>
                      <w:szCs w:val="20"/>
                      <w:rtl/>
                    </w:rPr>
                    <w:t>סקר הנהלה</w:t>
                  </w:r>
                </w:p>
                <w:p w14:paraId="18ABFA38" w14:textId="5FECEE5D" w:rsidR="00680966" w:rsidRPr="000D1665" w:rsidRDefault="00680966" w:rsidP="00680966">
                  <w:pPr>
                    <w:bidi w:val="0"/>
                    <w:rPr>
                      <w:rFonts w:ascii="David" w:hAnsi="David"/>
                      <w:sz w:val="20"/>
                      <w:szCs w:val="20"/>
                      <w:rtl/>
                    </w:rPr>
                  </w:pPr>
                  <w:r w:rsidRPr="000D1665">
                    <w:rPr>
                      <w:rFonts w:ascii="David" w:hAnsi="David"/>
                      <w:sz w:val="20"/>
                      <w:szCs w:val="20"/>
                    </w:rPr>
                    <w:t>Management Review</w:t>
                  </w:r>
                </w:p>
              </w:tc>
              <w:tc>
                <w:tcPr>
                  <w:tcW w:w="3925" w:type="dxa"/>
                </w:tcPr>
                <w:p w14:paraId="18AAF06A" w14:textId="77777777" w:rsidR="00805D4E" w:rsidRPr="000D1665" w:rsidRDefault="00805D4E" w:rsidP="00805D4E">
                  <w:pPr>
                    <w:ind w:right="720"/>
                    <w:rPr>
                      <w:rFonts w:ascii="David" w:hAnsi="David"/>
                      <w:sz w:val="20"/>
                      <w:szCs w:val="20"/>
                      <w:rtl/>
                    </w:rPr>
                  </w:pPr>
                  <w:r w:rsidRPr="000D1665">
                    <w:rPr>
                      <w:rFonts w:ascii="David" w:hAnsi="David"/>
                      <w:sz w:val="20"/>
                      <w:szCs w:val="20"/>
                      <w:rtl/>
                    </w:rPr>
                    <w:t xml:space="preserve">1. תשומות לסקר הנהלה (ניתן להעביר כמצגת או באופן אחר) </w:t>
                  </w:r>
                </w:p>
                <w:p w14:paraId="70D5E394" w14:textId="77777777" w:rsidR="00805D4E" w:rsidRPr="000D1665" w:rsidRDefault="00805D4E" w:rsidP="00805D4E">
                  <w:pPr>
                    <w:ind w:right="720"/>
                    <w:rPr>
                      <w:rFonts w:ascii="David" w:hAnsi="David"/>
                      <w:sz w:val="20"/>
                      <w:szCs w:val="20"/>
                      <w:rtl/>
                    </w:rPr>
                  </w:pPr>
                  <w:r w:rsidRPr="000D1665">
                    <w:rPr>
                      <w:rFonts w:ascii="David" w:hAnsi="David"/>
                      <w:sz w:val="20"/>
                      <w:szCs w:val="20"/>
                      <w:rtl/>
                    </w:rPr>
                    <w:t>2. סיכום דיון בסקר בהנהלה</w:t>
                  </w:r>
                </w:p>
              </w:tc>
              <w:tc>
                <w:tcPr>
                  <w:tcW w:w="3744" w:type="dxa"/>
                </w:tcPr>
                <w:p w14:paraId="0E4061F3" w14:textId="77777777" w:rsidR="00680966" w:rsidRPr="000D1665" w:rsidRDefault="00680966" w:rsidP="005976FE">
                  <w:pPr>
                    <w:pStyle w:val="ListParagraph"/>
                    <w:numPr>
                      <w:ilvl w:val="0"/>
                      <w:numId w:val="5"/>
                    </w:numPr>
                    <w:bidi w:val="0"/>
                    <w:spacing w:after="0" w:line="240" w:lineRule="auto"/>
                    <w:ind w:left="240" w:hanging="240"/>
                    <w:rPr>
                      <w:rFonts w:ascii="David" w:hAnsi="David"/>
                      <w:sz w:val="20"/>
                      <w:szCs w:val="20"/>
                    </w:rPr>
                  </w:pPr>
                  <w:r w:rsidRPr="000D1665">
                    <w:rPr>
                      <w:rFonts w:ascii="David" w:eastAsia="MS Mincho" w:hAnsi="David"/>
                      <w:sz w:val="20"/>
                      <w:szCs w:val="20"/>
                    </w:rPr>
                    <w:t>Input for management reviews (could</w:t>
                  </w:r>
                  <w:r w:rsidRPr="000D1665">
                    <w:rPr>
                      <w:rFonts w:ascii="David" w:hAnsi="David"/>
                      <w:sz w:val="20"/>
                      <w:szCs w:val="20"/>
                    </w:rPr>
                    <w:t xml:space="preserve"> be transferred as presentations or other means</w:t>
                  </w:r>
                </w:p>
                <w:p w14:paraId="3BFFB6AE" w14:textId="6C302676" w:rsidR="00805D4E" w:rsidRPr="000D1665" w:rsidRDefault="00680966" w:rsidP="005976FE">
                  <w:pPr>
                    <w:pStyle w:val="ListParagraph"/>
                    <w:numPr>
                      <w:ilvl w:val="0"/>
                      <w:numId w:val="5"/>
                    </w:numPr>
                    <w:bidi w:val="0"/>
                    <w:spacing w:after="0" w:line="240" w:lineRule="auto"/>
                    <w:ind w:left="240" w:hanging="240"/>
                    <w:rPr>
                      <w:rFonts w:ascii="David" w:hAnsi="David"/>
                      <w:sz w:val="20"/>
                      <w:szCs w:val="20"/>
                      <w:rtl/>
                    </w:rPr>
                  </w:pPr>
                  <w:r w:rsidRPr="000D1665">
                    <w:rPr>
                      <w:rFonts w:ascii="David" w:eastAsia="MS Mincho" w:hAnsi="David"/>
                      <w:sz w:val="20"/>
                      <w:szCs w:val="20"/>
                    </w:rPr>
                    <w:t>Summary of discussion in management review</w:t>
                  </w:r>
                </w:p>
              </w:tc>
            </w:tr>
          </w:tbl>
          <w:p w14:paraId="296D3A63" w14:textId="77777777" w:rsidR="00805D4E" w:rsidRPr="00805D4E" w:rsidRDefault="00805D4E" w:rsidP="00680966">
            <w:pPr>
              <w:jc w:val="both"/>
              <w:rPr>
                <w:rFonts w:ascii="David" w:hAnsi="David"/>
                <w:sz w:val="20"/>
                <w:szCs w:val="20"/>
              </w:rPr>
            </w:pPr>
          </w:p>
          <w:p w14:paraId="383719E9" w14:textId="687EC92F" w:rsidR="006C2712" w:rsidRPr="00805D4E" w:rsidRDefault="006C2712" w:rsidP="00805D4E">
            <w:pPr>
              <w:bidi w:val="0"/>
              <w:jc w:val="both"/>
              <w:rPr>
                <w:rFonts w:ascii="David" w:hAnsi="David"/>
                <w:sz w:val="20"/>
                <w:szCs w:val="20"/>
                <w:u w:val="single"/>
              </w:rPr>
            </w:pPr>
            <w:r w:rsidRPr="00805D4E">
              <w:rPr>
                <w:rFonts w:ascii="David" w:hAnsi="David"/>
                <w:sz w:val="20"/>
                <w:szCs w:val="20"/>
                <w:u w:val="single"/>
              </w:rPr>
              <w:t xml:space="preserve">Appendix No. </w:t>
            </w:r>
            <w:r w:rsidR="00805D4E">
              <w:rPr>
                <w:rFonts w:ascii="David" w:hAnsi="David" w:hint="cs"/>
                <w:sz w:val="20"/>
                <w:szCs w:val="20"/>
                <w:u w:val="single"/>
                <w:rtl/>
              </w:rPr>
              <w:t>3</w:t>
            </w:r>
            <w:r w:rsidRPr="00805D4E">
              <w:rPr>
                <w:rFonts w:ascii="David" w:hAnsi="David"/>
                <w:sz w:val="20"/>
                <w:szCs w:val="20"/>
                <w:u w:val="single"/>
              </w:rPr>
              <w:t>: References</w:t>
            </w:r>
          </w:p>
          <w:p w14:paraId="34E9D19E" w14:textId="77777777" w:rsidR="006C2712" w:rsidRPr="00805D4E" w:rsidRDefault="006C2712" w:rsidP="005976FE">
            <w:pPr>
              <w:pStyle w:val="ListParagraph"/>
              <w:numPr>
                <w:ilvl w:val="1"/>
                <w:numId w:val="3"/>
              </w:numPr>
              <w:bidi w:val="0"/>
              <w:ind w:left="270" w:hanging="270"/>
              <w:jc w:val="both"/>
              <w:rPr>
                <w:rFonts w:asciiTheme="majorBidi" w:hAnsiTheme="majorBidi" w:cstheme="majorBidi"/>
                <w:sz w:val="20"/>
                <w:szCs w:val="20"/>
              </w:rPr>
            </w:pPr>
            <w:r w:rsidRPr="00805D4E">
              <w:rPr>
                <w:rFonts w:asciiTheme="majorBidi" w:hAnsiTheme="majorBidi" w:cstheme="majorBidi"/>
                <w:sz w:val="20"/>
                <w:szCs w:val="20"/>
              </w:rPr>
              <w:t>ISO/IEC 17011:2017 – Conformity assessment - requirements for accreditation bodies accrediting conformity assessment bodies</w:t>
            </w:r>
          </w:p>
          <w:p w14:paraId="091B694D" w14:textId="77777777" w:rsidR="006C2712" w:rsidRPr="00805D4E" w:rsidRDefault="006C2712" w:rsidP="005976FE">
            <w:pPr>
              <w:pStyle w:val="ListParagraph"/>
              <w:numPr>
                <w:ilvl w:val="1"/>
                <w:numId w:val="3"/>
              </w:numPr>
              <w:bidi w:val="0"/>
              <w:ind w:left="270" w:hanging="270"/>
              <w:jc w:val="both"/>
              <w:rPr>
                <w:rFonts w:asciiTheme="majorBidi" w:hAnsiTheme="majorBidi" w:cstheme="majorBidi"/>
                <w:sz w:val="20"/>
                <w:szCs w:val="20"/>
              </w:rPr>
            </w:pPr>
            <w:r w:rsidRPr="00805D4E">
              <w:rPr>
                <w:rFonts w:asciiTheme="majorBidi" w:hAnsiTheme="majorBidi" w:cstheme="majorBidi"/>
                <w:sz w:val="20"/>
                <w:szCs w:val="20"/>
              </w:rPr>
              <w:t>ISO 19011:2018 – Guidelines for auditing management systems</w:t>
            </w:r>
          </w:p>
          <w:p w14:paraId="2150B9B2" w14:textId="66AB219A" w:rsidR="006C2712" w:rsidRPr="00D4386A" w:rsidRDefault="006C2712" w:rsidP="00D4386A">
            <w:pPr>
              <w:pStyle w:val="ListParagraph"/>
              <w:numPr>
                <w:ilvl w:val="1"/>
                <w:numId w:val="3"/>
              </w:numPr>
              <w:bidi w:val="0"/>
              <w:ind w:left="270" w:hanging="270"/>
              <w:jc w:val="both"/>
              <w:rPr>
                <w:rFonts w:asciiTheme="majorBidi" w:hAnsiTheme="majorBidi" w:cstheme="majorBidi"/>
                <w:sz w:val="20"/>
                <w:szCs w:val="20"/>
              </w:rPr>
            </w:pPr>
            <w:r w:rsidRPr="00805D4E">
              <w:rPr>
                <w:rFonts w:asciiTheme="majorBidi" w:hAnsiTheme="majorBidi" w:cstheme="majorBidi"/>
                <w:sz w:val="20"/>
                <w:szCs w:val="20"/>
              </w:rPr>
              <w:t>IAF MD 4:2018 – IAF Mandatory Document for The Use of Information and Communication Technology (ICT) for Auditing/Assessment Purposes</w:t>
            </w:r>
          </w:p>
        </w:tc>
      </w:tr>
    </w:tbl>
    <w:p w14:paraId="45499EE5" w14:textId="77777777" w:rsidR="00D217AD" w:rsidRPr="005756CD" w:rsidRDefault="00D217AD" w:rsidP="0094722E">
      <w:pPr>
        <w:rPr>
          <w:rtl/>
        </w:rPr>
      </w:pPr>
    </w:p>
    <w:sectPr w:rsidR="00D217AD" w:rsidRPr="005756CD">
      <w:headerReference w:type="default" r:id="rId20"/>
      <w:footerReference w:type="default" r:id="rId21"/>
      <w:pgSz w:w="11906" w:h="16838" w:code="9"/>
      <w:pgMar w:top="1134" w:right="1418" w:bottom="1134" w:left="1418" w:header="454" w:footer="454" w:gutter="0"/>
      <w:cols w:space="708"/>
      <w:formProt w:val="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0AD07" w14:textId="77777777" w:rsidR="00A74B8B" w:rsidRDefault="00A74B8B">
      <w:pPr>
        <w:spacing w:line="240" w:lineRule="auto"/>
      </w:pPr>
      <w:r>
        <w:separator/>
      </w:r>
    </w:p>
  </w:endnote>
  <w:endnote w:type="continuationSeparator" w:id="0">
    <w:p w14:paraId="530ECB63" w14:textId="77777777" w:rsidR="00A74B8B" w:rsidRDefault="00A74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
    <w:altName w:val="Times New Roman"/>
    <w:panose1 w:val="00000000000000000000"/>
    <w:charset w:val="00"/>
    <w:family w:val="roman"/>
    <w:notTrueType/>
    <w:pitch w:val="default"/>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BACB" w14:textId="4015E84D" w:rsidR="00476092" w:rsidRPr="00FE3F13" w:rsidRDefault="00476092" w:rsidP="00476092">
    <w:pPr>
      <w:pStyle w:val="Header"/>
      <w:spacing w:line="240" w:lineRule="auto"/>
      <w:rPr>
        <w:szCs w:val="22"/>
      </w:rPr>
    </w:pPr>
    <w:r w:rsidRPr="00FE3F13">
      <w:rPr>
        <w:rFonts w:hint="cs"/>
        <w:szCs w:val="22"/>
        <w:rtl/>
      </w:rPr>
      <w:t xml:space="preserve">טופס  </w:t>
    </w:r>
    <w:r w:rsidRPr="00FE3F13">
      <w:rPr>
        <w:rFonts w:hint="cs"/>
        <w:szCs w:val="22"/>
      </w:rPr>
      <w:t>T</w:t>
    </w:r>
    <w:r w:rsidRPr="00FE3F13">
      <w:rPr>
        <w:szCs w:val="22"/>
      </w:rPr>
      <w:t>2-</w:t>
    </w:r>
    <w:r>
      <w:rPr>
        <w:szCs w:val="22"/>
      </w:rPr>
      <w:t>623001-35</w:t>
    </w:r>
    <w:r w:rsidRPr="00FE3F13">
      <w:rPr>
        <w:rFonts w:hint="cs"/>
        <w:szCs w:val="22"/>
        <w:rtl/>
      </w:rPr>
      <w:tab/>
      <w:t xml:space="preserve">        פרסום באתר: </w:t>
    </w:r>
    <w:r w:rsidRPr="00FE3F13">
      <w:rPr>
        <w:rFonts w:hint="cs"/>
        <w:szCs w:val="22"/>
      </w:rPr>
      <w:t>NO</w:t>
    </w:r>
    <w:r w:rsidRPr="00FE3F13">
      <w:rPr>
        <w:rFonts w:hint="cs"/>
        <w:szCs w:val="22"/>
        <w:rtl/>
      </w:rPr>
      <w:t xml:space="preserve">               </w:t>
    </w:r>
    <w:r w:rsidRPr="00FE3F13">
      <w:rPr>
        <w:rFonts w:hint="cs"/>
        <w:szCs w:val="22"/>
        <w:rtl/>
      </w:rPr>
      <w:tab/>
    </w:r>
  </w:p>
  <w:p w14:paraId="0BF8D0FF" w14:textId="239E0B4D" w:rsidR="00476092" w:rsidRPr="00FE3F13" w:rsidRDefault="00476092" w:rsidP="00476092">
    <w:pPr>
      <w:pStyle w:val="Header"/>
      <w:spacing w:line="240" w:lineRule="auto"/>
      <w:rPr>
        <w:szCs w:val="22"/>
        <w:rtl/>
      </w:rPr>
    </w:pPr>
    <w:r w:rsidRPr="00FE3F13">
      <w:rPr>
        <w:rFonts w:hint="cs"/>
        <w:szCs w:val="22"/>
        <w:rtl/>
      </w:rPr>
      <w:t xml:space="preserve">גרסה </w:t>
    </w:r>
    <w:r>
      <w:rPr>
        <w:rFonts w:hint="cs"/>
        <w:szCs w:val="22"/>
        <w:rtl/>
      </w:rPr>
      <w:t>04</w:t>
    </w:r>
    <w:r w:rsidRPr="00FE3F13">
      <w:rPr>
        <w:szCs w:val="22"/>
      </w:rPr>
      <w:t xml:space="preserve">  </w:t>
    </w:r>
    <w:r w:rsidRPr="00FE3F13">
      <w:rPr>
        <w:rFonts w:hint="cs"/>
        <w:szCs w:val="22"/>
        <w:rtl/>
      </w:rPr>
      <w:t xml:space="preserve">בתוקף מ: </w:t>
    </w:r>
    <w:r>
      <w:rPr>
        <w:rFonts w:hint="cs"/>
        <w:szCs w:val="22"/>
        <w:rtl/>
      </w:rPr>
      <w:t>01.</w:t>
    </w:r>
    <w:r w:rsidR="001045A0">
      <w:rPr>
        <w:rFonts w:hint="cs"/>
        <w:szCs w:val="22"/>
        <w:rtl/>
      </w:rPr>
      <w:t>07</w:t>
    </w:r>
    <w:r>
      <w:rPr>
        <w:rFonts w:hint="cs"/>
        <w:szCs w:val="22"/>
        <w:rtl/>
      </w:rPr>
      <w:t>.2021</w:t>
    </w:r>
  </w:p>
  <w:p w14:paraId="3E8F6135" w14:textId="0BAFA1B1" w:rsidR="00460B69" w:rsidRPr="00476092" w:rsidRDefault="00476092" w:rsidP="00476092">
    <w:pPr>
      <w:pStyle w:val="Footer"/>
      <w:rPr>
        <w:sz w:val="22"/>
        <w:szCs w:val="22"/>
        <w:rtl/>
      </w:rPr>
    </w:pPr>
    <w:r w:rsidRPr="00FE3F13">
      <w:rPr>
        <w:rFonts w:hint="cs"/>
        <w:sz w:val="22"/>
        <w:szCs w:val="22"/>
        <w:rtl/>
      </w:rPr>
      <w:t xml:space="preserve">עמוד </w:t>
    </w:r>
    <w:r w:rsidRPr="00FE3F13">
      <w:rPr>
        <w:rStyle w:val="PageNumber"/>
        <w:szCs w:val="22"/>
      </w:rPr>
      <w:fldChar w:fldCharType="begin"/>
    </w:r>
    <w:r w:rsidRPr="00FE3F13">
      <w:rPr>
        <w:rStyle w:val="PageNumber"/>
        <w:szCs w:val="22"/>
      </w:rPr>
      <w:instrText xml:space="preserve"> PAGE </w:instrText>
    </w:r>
    <w:r w:rsidRPr="00FE3F13">
      <w:rPr>
        <w:rStyle w:val="PageNumber"/>
        <w:szCs w:val="22"/>
      </w:rPr>
      <w:fldChar w:fldCharType="separate"/>
    </w:r>
    <w:r>
      <w:rPr>
        <w:rStyle w:val="PageNumber"/>
        <w:szCs w:val="22"/>
      </w:rPr>
      <w:t>2</w:t>
    </w:r>
    <w:r w:rsidRPr="00FE3F13">
      <w:rPr>
        <w:rStyle w:val="PageNumber"/>
        <w:szCs w:val="22"/>
      </w:rPr>
      <w:fldChar w:fldCharType="end"/>
    </w:r>
    <w:r w:rsidRPr="00FE3F13">
      <w:rPr>
        <w:rStyle w:val="PageNumber"/>
        <w:rFonts w:hint="cs"/>
        <w:szCs w:val="22"/>
        <w:rtl/>
      </w:rPr>
      <w:t xml:space="preserve"> מתוך </w:t>
    </w:r>
    <w:r w:rsidRPr="00FE3F13">
      <w:rPr>
        <w:rStyle w:val="PageNumber"/>
        <w:szCs w:val="22"/>
      </w:rPr>
      <w:fldChar w:fldCharType="begin"/>
    </w:r>
    <w:r w:rsidRPr="00FE3F13">
      <w:rPr>
        <w:rStyle w:val="PageNumber"/>
        <w:szCs w:val="22"/>
      </w:rPr>
      <w:instrText xml:space="preserve"> NUMPAGES </w:instrText>
    </w:r>
    <w:r w:rsidRPr="00FE3F13">
      <w:rPr>
        <w:rStyle w:val="PageNumber"/>
        <w:szCs w:val="22"/>
      </w:rPr>
      <w:fldChar w:fldCharType="separate"/>
    </w:r>
    <w:r>
      <w:rPr>
        <w:rStyle w:val="PageNumber"/>
        <w:szCs w:val="22"/>
      </w:rPr>
      <w:t>2</w:t>
    </w:r>
    <w:r w:rsidRPr="00FE3F13">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479B1" w14:textId="77777777" w:rsidR="00A74B8B" w:rsidRDefault="00A74B8B">
      <w:pPr>
        <w:spacing w:line="240" w:lineRule="auto"/>
      </w:pPr>
      <w:r>
        <w:separator/>
      </w:r>
    </w:p>
  </w:footnote>
  <w:footnote w:type="continuationSeparator" w:id="0">
    <w:p w14:paraId="4F78689E" w14:textId="77777777" w:rsidR="00A74B8B" w:rsidRDefault="00A74B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B4573" w14:textId="39CDD264" w:rsidR="00460B69" w:rsidRDefault="00476092" w:rsidP="00476092">
    <w:pPr>
      <w:pStyle w:val="Header"/>
      <w:jc w:val="center"/>
    </w:pPr>
    <w:r>
      <w:rPr>
        <w:noProof/>
        <w:lang w:eastAsia="zh-TW"/>
      </w:rPr>
      <w:drawing>
        <wp:inline distT="0" distB="0" distL="0" distR="0" wp14:anchorId="280D1A79" wp14:editId="19BD6D20">
          <wp:extent cx="5267325" cy="942975"/>
          <wp:effectExtent l="19050" t="0" r="9525" b="0"/>
          <wp:docPr id="3" name="תמונה 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וגו מעודכן לרשות"/>
                  <pic:cNvPicPr>
                    <a:picLocks noChangeAspect="1" noChangeArrowheads="1"/>
                  </pic:cNvPicPr>
                </pic:nvPicPr>
                <pic:blipFill>
                  <a:blip r:embed="rId1"/>
                  <a:srcRect/>
                  <a:stretch>
                    <a:fillRect/>
                  </a:stretch>
                </pic:blipFill>
                <pic:spPr bwMode="auto">
                  <a:xfrm>
                    <a:off x="0" y="0"/>
                    <a:ext cx="5267325" cy="942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36D39"/>
    <w:multiLevelType w:val="hybridMultilevel"/>
    <w:tmpl w:val="0490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D0704A"/>
    <w:multiLevelType w:val="hybridMultilevel"/>
    <w:tmpl w:val="1A2EAE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B97524"/>
    <w:multiLevelType w:val="hybridMultilevel"/>
    <w:tmpl w:val="8EF4C1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6E38B0"/>
    <w:multiLevelType w:val="hybridMultilevel"/>
    <w:tmpl w:val="E76EF888"/>
    <w:lvl w:ilvl="0" w:tplc="17741C66">
      <w:start w:val="1"/>
      <w:numFmt w:val="hebrew1"/>
      <w:lvlText w:val="%1."/>
      <w:lvlJc w:val="center"/>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F6A96"/>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D4807"/>
    <w:multiLevelType w:val="multilevel"/>
    <w:tmpl w:val="A6C2F0D4"/>
    <w:name w:val="ISRACEng"/>
    <w:lvl w:ilvl="0">
      <w:start w:val="1"/>
      <w:numFmt w:val="decimal"/>
      <w:pStyle w:val="HeadEnglish1"/>
      <w:lvlText w:val="%1.0"/>
      <w:lvlJc w:val="left"/>
      <w:pPr>
        <w:tabs>
          <w:tab w:val="num" w:pos="567"/>
        </w:tabs>
        <w:ind w:left="567" w:right="567" w:hanging="567"/>
      </w:pPr>
      <w:rPr>
        <w:rFonts w:hint="default"/>
        <w:b/>
        <w:bCs/>
        <w:i w:val="0"/>
        <w:iCs w:val="0"/>
      </w:rPr>
    </w:lvl>
    <w:lvl w:ilvl="1">
      <w:start w:val="1"/>
      <w:numFmt w:val="decimal"/>
      <w:pStyle w:val="HeadEnglish2"/>
      <w:lvlText w:val="%1.%2"/>
      <w:lvlJc w:val="left"/>
      <w:pPr>
        <w:tabs>
          <w:tab w:val="num" w:pos="567"/>
        </w:tabs>
        <w:ind w:left="567" w:right="567" w:hanging="567"/>
      </w:pPr>
      <w:rPr>
        <w:rFonts w:hint="default"/>
        <w:b w:val="0"/>
        <w:bCs/>
        <w:i w:val="0"/>
        <w:iCs w:val="0"/>
      </w:rPr>
    </w:lvl>
    <w:lvl w:ilvl="2">
      <w:start w:val="1"/>
      <w:numFmt w:val="decimal"/>
      <w:pStyle w:val="HeadEnglish3"/>
      <w:lvlText w:val="%1.%2.%3"/>
      <w:lvlJc w:val="left"/>
      <w:pPr>
        <w:tabs>
          <w:tab w:val="num" w:pos="907"/>
        </w:tabs>
        <w:ind w:left="907" w:right="907" w:hanging="907"/>
      </w:pPr>
      <w:rPr>
        <w:rFonts w:hint="default"/>
      </w:rPr>
    </w:lvl>
    <w:lvl w:ilvl="3">
      <w:start w:val="1"/>
      <w:numFmt w:val="decimal"/>
      <w:pStyle w:val="HeadEnglish4"/>
      <w:lvlText w:val="%1.%2.%3.%4"/>
      <w:lvlJc w:val="left"/>
      <w:pPr>
        <w:tabs>
          <w:tab w:val="num" w:pos="907"/>
        </w:tabs>
        <w:ind w:left="907" w:right="907" w:hanging="907"/>
      </w:pPr>
      <w:rPr>
        <w:rFonts w:hint="default"/>
      </w:rPr>
    </w:lvl>
    <w:lvl w:ilvl="4">
      <w:start w:val="1"/>
      <w:numFmt w:val="decimal"/>
      <w:pStyle w:val="HeadEnglish5"/>
      <w:lvlText w:val="%1.%2.%3.%4.%5"/>
      <w:lvlJc w:val="left"/>
      <w:pPr>
        <w:tabs>
          <w:tab w:val="num" w:pos="907"/>
        </w:tabs>
        <w:ind w:left="907" w:right="907" w:hanging="907"/>
      </w:pPr>
      <w:rPr>
        <w:rFonts w:hint="default"/>
      </w:rPr>
    </w:lvl>
    <w:lvl w:ilvl="5">
      <w:start w:val="1"/>
      <w:numFmt w:val="lowerLetter"/>
      <w:pStyle w:val="HeadEnglish6"/>
      <w:lvlText w:val="%6."/>
      <w:lvlJc w:val="left"/>
      <w:pPr>
        <w:tabs>
          <w:tab w:val="num" w:pos="567"/>
        </w:tabs>
        <w:ind w:left="567" w:right="567" w:hanging="567"/>
      </w:pPr>
      <w:rPr>
        <w:rFonts w:hint="default"/>
      </w:rPr>
    </w:lvl>
    <w:lvl w:ilvl="6">
      <w:start w:val="1"/>
      <w:numFmt w:val="decimal"/>
      <w:pStyle w:val="HeadEnglish7"/>
      <w:lvlText w:val="%1.%2.%3.%4.%5.%7"/>
      <w:lvlJc w:val="left"/>
      <w:pPr>
        <w:tabs>
          <w:tab w:val="num" w:pos="1134"/>
        </w:tabs>
        <w:ind w:left="1134" w:right="1134" w:hanging="1134"/>
      </w:pPr>
      <w:rPr>
        <w:rFonts w:hint="default"/>
      </w:rPr>
    </w:lvl>
    <w:lvl w:ilvl="7">
      <w:start w:val="1"/>
      <w:numFmt w:val="decimal"/>
      <w:pStyle w:val="HeadEnglish8"/>
      <w:lvlText w:val="%1.%2.%3.%4.%5.%7.%8"/>
      <w:lvlJc w:val="left"/>
      <w:pPr>
        <w:tabs>
          <w:tab w:val="num" w:pos="1440"/>
        </w:tabs>
        <w:ind w:left="1134" w:right="1134" w:hanging="1134"/>
      </w:pPr>
      <w:rPr>
        <w:rFonts w:hint="default"/>
      </w:rPr>
    </w:lvl>
    <w:lvl w:ilvl="8">
      <w:start w:val="1"/>
      <w:numFmt w:val="decimal"/>
      <w:pStyle w:val="HeadEnglish9"/>
      <w:lvlText w:val="%1.%2.%3.%4.%5.%7.%8.%9"/>
      <w:lvlJc w:val="left"/>
      <w:pPr>
        <w:tabs>
          <w:tab w:val="num" w:pos="1440"/>
        </w:tabs>
        <w:ind w:left="1134" w:right="1134" w:hanging="1134"/>
      </w:pPr>
      <w:rPr>
        <w:rFonts w:hint="default"/>
      </w:rPr>
    </w:lvl>
  </w:abstractNum>
  <w:abstractNum w:abstractNumId="6" w15:restartNumberingAfterBreak="0">
    <w:nsid w:val="28E51AFA"/>
    <w:multiLevelType w:val="hybridMultilevel"/>
    <w:tmpl w:val="C71609FE"/>
    <w:lvl w:ilvl="0" w:tplc="B3820016">
      <w:start w:val="1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256FA7"/>
    <w:multiLevelType w:val="hybridMultilevel"/>
    <w:tmpl w:val="0490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A662132"/>
    <w:multiLevelType w:val="hybridMultilevel"/>
    <w:tmpl w:val="0490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0"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1"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D4662"/>
    <w:multiLevelType w:val="multilevel"/>
    <w:tmpl w:val="A52E7FBC"/>
    <w:lvl w:ilvl="0">
      <w:start w:val="1"/>
      <w:numFmt w:val="decimal"/>
      <w:lvlText w:val="%1."/>
      <w:lvlJc w:val="left"/>
      <w:pPr>
        <w:ind w:left="360" w:hanging="36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2C20995"/>
    <w:multiLevelType w:val="multilevel"/>
    <w:tmpl w:val="8BF6CDB4"/>
    <w:name w:val="ISRACHebrew"/>
    <w:lvl w:ilvl="0">
      <w:start w:val="1"/>
      <w:numFmt w:val="decimal"/>
      <w:lvlRestart w:val="0"/>
      <w:pStyle w:val="Heading1"/>
      <w:isLgl/>
      <w:lvlText w:val="%1.0"/>
      <w:lvlJc w:val="left"/>
      <w:pPr>
        <w:tabs>
          <w:tab w:val="num" w:pos="567"/>
        </w:tabs>
        <w:ind w:left="567" w:right="567" w:hanging="567"/>
      </w:pPr>
      <w:rPr>
        <w:rFonts w:hint="default"/>
        <w:b/>
        <w:bCs/>
        <w:i w:val="0"/>
        <w:iCs w:val="0"/>
      </w:rPr>
    </w:lvl>
    <w:lvl w:ilvl="1">
      <w:start w:val="1"/>
      <w:numFmt w:val="decimal"/>
      <w:pStyle w:val="Heading2"/>
      <w:isLgl/>
      <w:lvlText w:val="%1.%2"/>
      <w:lvlJc w:val="left"/>
      <w:pPr>
        <w:tabs>
          <w:tab w:val="num" w:pos="567"/>
        </w:tabs>
        <w:ind w:left="567" w:right="567" w:hanging="567"/>
      </w:pPr>
      <w:rPr>
        <w:rFonts w:hint="default"/>
        <w:b/>
        <w:bCs w:val="0"/>
      </w:rPr>
    </w:lvl>
    <w:lvl w:ilvl="2">
      <w:start w:val="1"/>
      <w:numFmt w:val="decimal"/>
      <w:pStyle w:val="Heading3"/>
      <w:lvlText w:val="%1.%2.%3"/>
      <w:lvlJc w:val="left"/>
      <w:pPr>
        <w:tabs>
          <w:tab w:val="num" w:pos="907"/>
        </w:tabs>
        <w:ind w:left="907" w:right="907" w:hanging="907"/>
      </w:pPr>
      <w:rPr>
        <w:rFonts w:hint="default"/>
        <w:b w:val="0"/>
        <w:bCs w:val="0"/>
      </w:rPr>
    </w:lvl>
    <w:lvl w:ilvl="3">
      <w:start w:val="1"/>
      <w:numFmt w:val="decimal"/>
      <w:pStyle w:val="Heading4"/>
      <w:lvlText w:val="%1.%2.%3.%4"/>
      <w:lvlJc w:val="left"/>
      <w:pPr>
        <w:tabs>
          <w:tab w:val="num" w:pos="907"/>
        </w:tabs>
        <w:ind w:left="907" w:right="907" w:hanging="907"/>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15" w15:restartNumberingAfterBreak="0">
    <w:nsid w:val="6B9F10A9"/>
    <w:multiLevelType w:val="hybridMultilevel"/>
    <w:tmpl w:val="0490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7" w15:restartNumberingAfterBreak="0">
    <w:nsid w:val="706D4EA8"/>
    <w:multiLevelType w:val="hybridMultilevel"/>
    <w:tmpl w:val="7C32F0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5"/>
  </w:num>
  <w:num w:numId="3">
    <w:abstractNumId w:val="13"/>
  </w:num>
  <w:num w:numId="4">
    <w:abstractNumId w:val="0"/>
  </w:num>
  <w:num w:numId="5">
    <w:abstractNumId w:val="1"/>
  </w:num>
  <w:num w:numId="6">
    <w:abstractNumId w:val="3"/>
  </w:num>
  <w:num w:numId="7">
    <w:abstractNumId w:val="6"/>
  </w:num>
  <w:num w:numId="8">
    <w:abstractNumId w:val="11"/>
  </w:num>
  <w:num w:numId="9">
    <w:abstractNumId w:val="12"/>
  </w:num>
  <w:num w:numId="10">
    <w:abstractNumId w:val="8"/>
  </w:num>
  <w:num w:numId="11">
    <w:abstractNumId w:val="7"/>
  </w:num>
  <w:num w:numId="12">
    <w:abstractNumId w:val="15"/>
  </w:num>
  <w:num w:numId="13">
    <w:abstractNumId w:val="2"/>
  </w:num>
  <w:num w:numId="14">
    <w:abstractNumId w:val="17"/>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56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0MDQ2NTK2sDAxNzNU0lEKTi0uzszPAykwqQUAFHDTAywAAAA="/>
  </w:docVars>
  <w:rsids>
    <w:rsidRoot w:val="00091AA0"/>
    <w:rsid w:val="00001691"/>
    <w:rsid w:val="000017AF"/>
    <w:rsid w:val="000038CA"/>
    <w:rsid w:val="00017111"/>
    <w:rsid w:val="00035F64"/>
    <w:rsid w:val="00044FF5"/>
    <w:rsid w:val="00053FA7"/>
    <w:rsid w:val="000672D8"/>
    <w:rsid w:val="00087E5B"/>
    <w:rsid w:val="00091AA0"/>
    <w:rsid w:val="00095FA0"/>
    <w:rsid w:val="000D1665"/>
    <w:rsid w:val="00102009"/>
    <w:rsid w:val="001045A0"/>
    <w:rsid w:val="00145ADD"/>
    <w:rsid w:val="00153F64"/>
    <w:rsid w:val="00154D3D"/>
    <w:rsid w:val="0016001B"/>
    <w:rsid w:val="00171F1A"/>
    <w:rsid w:val="001B0E7D"/>
    <w:rsid w:val="001C62FC"/>
    <w:rsid w:val="001D037B"/>
    <w:rsid w:val="001D65B2"/>
    <w:rsid w:val="00210B3C"/>
    <w:rsid w:val="00225EA5"/>
    <w:rsid w:val="00235961"/>
    <w:rsid w:val="00254F94"/>
    <w:rsid w:val="002906BE"/>
    <w:rsid w:val="002C6F17"/>
    <w:rsid w:val="002D24E5"/>
    <w:rsid w:val="002D627B"/>
    <w:rsid w:val="002E0C0B"/>
    <w:rsid w:val="0030247D"/>
    <w:rsid w:val="003072D2"/>
    <w:rsid w:val="0031026A"/>
    <w:rsid w:val="003118BE"/>
    <w:rsid w:val="00312F7A"/>
    <w:rsid w:val="00354B8F"/>
    <w:rsid w:val="00355DBF"/>
    <w:rsid w:val="00366EFE"/>
    <w:rsid w:val="0039694A"/>
    <w:rsid w:val="003A18B0"/>
    <w:rsid w:val="003A2ED2"/>
    <w:rsid w:val="003B6777"/>
    <w:rsid w:val="003B7DC3"/>
    <w:rsid w:val="003F1570"/>
    <w:rsid w:val="00433EB8"/>
    <w:rsid w:val="0044243A"/>
    <w:rsid w:val="00460B69"/>
    <w:rsid w:val="00467713"/>
    <w:rsid w:val="0047338E"/>
    <w:rsid w:val="00476092"/>
    <w:rsid w:val="004A140F"/>
    <w:rsid w:val="004B37BB"/>
    <w:rsid w:val="004C6C9A"/>
    <w:rsid w:val="004E3E8D"/>
    <w:rsid w:val="004F1DD3"/>
    <w:rsid w:val="005251C8"/>
    <w:rsid w:val="005277B7"/>
    <w:rsid w:val="00527CA0"/>
    <w:rsid w:val="00537DA9"/>
    <w:rsid w:val="00546956"/>
    <w:rsid w:val="005641F4"/>
    <w:rsid w:val="00571A3D"/>
    <w:rsid w:val="005756CD"/>
    <w:rsid w:val="0058018C"/>
    <w:rsid w:val="0058122F"/>
    <w:rsid w:val="005976FE"/>
    <w:rsid w:val="005A1F94"/>
    <w:rsid w:val="005C1EA0"/>
    <w:rsid w:val="005C5546"/>
    <w:rsid w:val="005D4EBF"/>
    <w:rsid w:val="00607520"/>
    <w:rsid w:val="00610FA4"/>
    <w:rsid w:val="006558D4"/>
    <w:rsid w:val="00655C76"/>
    <w:rsid w:val="006613F3"/>
    <w:rsid w:val="00672C84"/>
    <w:rsid w:val="00674A9B"/>
    <w:rsid w:val="0067669C"/>
    <w:rsid w:val="00680966"/>
    <w:rsid w:val="006851A9"/>
    <w:rsid w:val="006969C1"/>
    <w:rsid w:val="006C2712"/>
    <w:rsid w:val="006E4EF2"/>
    <w:rsid w:val="00717B7A"/>
    <w:rsid w:val="00732B85"/>
    <w:rsid w:val="00734F7D"/>
    <w:rsid w:val="007453BD"/>
    <w:rsid w:val="00757339"/>
    <w:rsid w:val="007818BD"/>
    <w:rsid w:val="007B6CA6"/>
    <w:rsid w:val="007B6F15"/>
    <w:rsid w:val="00801910"/>
    <w:rsid w:val="00803B2D"/>
    <w:rsid w:val="008057E2"/>
    <w:rsid w:val="00805D4E"/>
    <w:rsid w:val="008306F7"/>
    <w:rsid w:val="0087109B"/>
    <w:rsid w:val="00892B8C"/>
    <w:rsid w:val="008A684A"/>
    <w:rsid w:val="008B01BC"/>
    <w:rsid w:val="008B449C"/>
    <w:rsid w:val="008C5A7C"/>
    <w:rsid w:val="008D12A1"/>
    <w:rsid w:val="008E2139"/>
    <w:rsid w:val="00900755"/>
    <w:rsid w:val="0091259D"/>
    <w:rsid w:val="00913653"/>
    <w:rsid w:val="009307A0"/>
    <w:rsid w:val="0094722E"/>
    <w:rsid w:val="0097179E"/>
    <w:rsid w:val="00990EE2"/>
    <w:rsid w:val="00991E86"/>
    <w:rsid w:val="009B7E83"/>
    <w:rsid w:val="009C2387"/>
    <w:rsid w:val="009C49F7"/>
    <w:rsid w:val="009C7803"/>
    <w:rsid w:val="009D71B8"/>
    <w:rsid w:val="009D73C6"/>
    <w:rsid w:val="009E1172"/>
    <w:rsid w:val="009F23C7"/>
    <w:rsid w:val="00A65C43"/>
    <w:rsid w:val="00A67479"/>
    <w:rsid w:val="00A74B8B"/>
    <w:rsid w:val="00A93AE8"/>
    <w:rsid w:val="00AB306A"/>
    <w:rsid w:val="00AB6C2F"/>
    <w:rsid w:val="00AD2344"/>
    <w:rsid w:val="00AD28AE"/>
    <w:rsid w:val="00AD4CB0"/>
    <w:rsid w:val="00AE034D"/>
    <w:rsid w:val="00B02629"/>
    <w:rsid w:val="00B02BDC"/>
    <w:rsid w:val="00B076D3"/>
    <w:rsid w:val="00B157AB"/>
    <w:rsid w:val="00B272F8"/>
    <w:rsid w:val="00B4123F"/>
    <w:rsid w:val="00B45BC9"/>
    <w:rsid w:val="00B710AD"/>
    <w:rsid w:val="00BC4158"/>
    <w:rsid w:val="00BD0E78"/>
    <w:rsid w:val="00BD560C"/>
    <w:rsid w:val="00BE1390"/>
    <w:rsid w:val="00BE36F8"/>
    <w:rsid w:val="00C11A53"/>
    <w:rsid w:val="00C310C6"/>
    <w:rsid w:val="00C450B6"/>
    <w:rsid w:val="00C576F5"/>
    <w:rsid w:val="00C57AC1"/>
    <w:rsid w:val="00C649FA"/>
    <w:rsid w:val="00C76635"/>
    <w:rsid w:val="00C80034"/>
    <w:rsid w:val="00C85819"/>
    <w:rsid w:val="00CC0F20"/>
    <w:rsid w:val="00CD2D5D"/>
    <w:rsid w:val="00CF3C1C"/>
    <w:rsid w:val="00D0679F"/>
    <w:rsid w:val="00D10ECC"/>
    <w:rsid w:val="00D217AD"/>
    <w:rsid w:val="00D25D0E"/>
    <w:rsid w:val="00D3770E"/>
    <w:rsid w:val="00D4386A"/>
    <w:rsid w:val="00D700D9"/>
    <w:rsid w:val="00D705FA"/>
    <w:rsid w:val="00D87802"/>
    <w:rsid w:val="00D93F72"/>
    <w:rsid w:val="00DE1EEE"/>
    <w:rsid w:val="00DE3B3D"/>
    <w:rsid w:val="00DE475F"/>
    <w:rsid w:val="00E167B3"/>
    <w:rsid w:val="00E352DA"/>
    <w:rsid w:val="00E54D00"/>
    <w:rsid w:val="00E6573F"/>
    <w:rsid w:val="00E6762B"/>
    <w:rsid w:val="00E67AC4"/>
    <w:rsid w:val="00E7328A"/>
    <w:rsid w:val="00EE1B07"/>
    <w:rsid w:val="00EE58F5"/>
    <w:rsid w:val="00F13B62"/>
    <w:rsid w:val="00F64175"/>
    <w:rsid w:val="00FC5EA1"/>
    <w:rsid w:val="00FE00FC"/>
    <w:rsid w:val="00FE6E60"/>
    <w:rsid w:val="00FF746E"/>
    <w:rsid w:val="0661498A"/>
    <w:rsid w:val="08A12108"/>
    <w:rsid w:val="0B38096F"/>
    <w:rsid w:val="14120021"/>
    <w:rsid w:val="151FF6FF"/>
    <w:rsid w:val="176E7F09"/>
    <w:rsid w:val="1A719332"/>
    <w:rsid w:val="1DD84892"/>
    <w:rsid w:val="1F0F7EB7"/>
    <w:rsid w:val="206D53E1"/>
    <w:rsid w:val="2EA9A0C7"/>
    <w:rsid w:val="31E14189"/>
    <w:rsid w:val="323DC60B"/>
    <w:rsid w:val="32913C7D"/>
    <w:rsid w:val="343D7C08"/>
    <w:rsid w:val="39B54B85"/>
    <w:rsid w:val="3B22A156"/>
    <w:rsid w:val="40120ACC"/>
    <w:rsid w:val="41050598"/>
    <w:rsid w:val="48A20EC9"/>
    <w:rsid w:val="492640EB"/>
    <w:rsid w:val="4ABA3779"/>
    <w:rsid w:val="5533832E"/>
    <w:rsid w:val="60AFD1F3"/>
    <w:rsid w:val="6399C8B3"/>
    <w:rsid w:val="73088B43"/>
    <w:rsid w:val="73D8098A"/>
    <w:rsid w:val="76837885"/>
    <w:rsid w:val="772E9425"/>
    <w:rsid w:val="7C7DBC24"/>
    <w:rsid w:val="7CD6DE6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E7784"/>
  <w15:chartTrackingRefBased/>
  <w15:docId w15:val="{683D5DD6-51DB-46B7-9309-33F354DF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360" w:lineRule="auto"/>
    </w:pPr>
    <w:rPr>
      <w:rFonts w:cs="David"/>
      <w:sz w:val="22"/>
      <w:szCs w:val="24"/>
      <w:lang w:eastAsia="en-US"/>
    </w:rPr>
  </w:style>
  <w:style w:type="paragraph" w:styleId="Heading1">
    <w:name w:val="heading 1"/>
    <w:basedOn w:val="Normal"/>
    <w:next w:val="Normal"/>
    <w:qFormat/>
    <w:pPr>
      <w:numPr>
        <w:numId w:val="1"/>
      </w:numPr>
      <w:spacing w:after="120"/>
      <w:ind w:right="0"/>
      <w:outlineLvl w:val="0"/>
    </w:pPr>
    <w:rPr>
      <w:b/>
      <w:bCs/>
      <w:caps/>
      <w:kern w:val="32"/>
      <w:sz w:val="24"/>
      <w:szCs w:val="28"/>
    </w:rPr>
  </w:style>
  <w:style w:type="paragraph" w:styleId="Heading2">
    <w:name w:val="heading 2"/>
    <w:basedOn w:val="Normal"/>
    <w:next w:val="Normal"/>
    <w:qFormat/>
    <w:pPr>
      <w:numPr>
        <w:ilvl w:val="1"/>
        <w:numId w:val="1"/>
      </w:numPr>
      <w:spacing w:after="120"/>
      <w:ind w:right="0"/>
      <w:outlineLvl w:val="1"/>
    </w:pPr>
    <w:rPr>
      <w:b/>
      <w:bCs/>
      <w:sz w:val="24"/>
      <w:szCs w:val="26"/>
    </w:rPr>
  </w:style>
  <w:style w:type="paragraph" w:styleId="Heading3">
    <w:name w:val="heading 3"/>
    <w:basedOn w:val="Normal"/>
    <w:next w:val="Normal"/>
    <w:qFormat/>
    <w:pPr>
      <w:numPr>
        <w:ilvl w:val="2"/>
        <w:numId w:val="1"/>
      </w:numPr>
      <w:spacing w:after="120"/>
      <w:ind w:right="0"/>
      <w:outlineLvl w:val="2"/>
    </w:pPr>
    <w:rPr>
      <w:b/>
      <w:bCs/>
      <w:caps/>
      <w:sz w:val="20"/>
    </w:rPr>
  </w:style>
  <w:style w:type="paragraph" w:styleId="Heading4">
    <w:name w:val="heading 4"/>
    <w:basedOn w:val="Normal"/>
    <w:next w:val="Normal"/>
    <w:qFormat/>
    <w:pPr>
      <w:numPr>
        <w:ilvl w:val="3"/>
        <w:numId w:val="1"/>
      </w:numPr>
      <w:spacing w:after="120"/>
      <w:ind w:right="0"/>
      <w:outlineLvl w:val="3"/>
    </w:pPr>
    <w:rPr>
      <w:u w:val="single"/>
    </w:rPr>
  </w:style>
  <w:style w:type="paragraph" w:styleId="Heading5">
    <w:name w:val="heading 5"/>
    <w:basedOn w:val="Normal"/>
    <w:next w:val="Normal"/>
    <w:qFormat/>
    <w:pPr>
      <w:numPr>
        <w:ilvl w:val="4"/>
        <w:numId w:val="1"/>
      </w:numPr>
      <w:spacing w:after="120"/>
      <w:ind w:right="0"/>
      <w:outlineLvl w:val="4"/>
    </w:pPr>
    <w:rPr>
      <w:i/>
      <w:iCs/>
      <w:sz w:val="26"/>
      <w:szCs w:val="26"/>
    </w:rPr>
  </w:style>
  <w:style w:type="paragraph" w:styleId="Heading6">
    <w:name w:val="heading 6"/>
    <w:basedOn w:val="Normal"/>
    <w:next w:val="Normal"/>
    <w:qFormat/>
    <w:pPr>
      <w:numPr>
        <w:ilvl w:val="5"/>
        <w:numId w:val="1"/>
      </w:numPr>
      <w:spacing w:after="120"/>
      <w:ind w:right="0"/>
      <w:outlineLvl w:val="5"/>
    </w:pPr>
    <w:rPr>
      <w:i/>
      <w:iCs/>
      <w:u w:val="single"/>
    </w:rPr>
  </w:style>
  <w:style w:type="paragraph" w:styleId="Heading7">
    <w:name w:val="heading 7"/>
    <w:basedOn w:val="Normal"/>
    <w:next w:val="Normal"/>
    <w:qFormat/>
    <w:pPr>
      <w:numPr>
        <w:ilvl w:val="6"/>
        <w:numId w:val="1"/>
      </w:numPr>
      <w:spacing w:after="120"/>
      <w:ind w:right="0"/>
      <w:outlineLvl w:val="6"/>
    </w:pPr>
  </w:style>
  <w:style w:type="paragraph" w:styleId="Heading8">
    <w:name w:val="heading 8"/>
    <w:basedOn w:val="Normal"/>
    <w:next w:val="Normal"/>
    <w:qFormat/>
    <w:pPr>
      <w:numPr>
        <w:ilvl w:val="7"/>
        <w:numId w:val="1"/>
      </w:numPr>
      <w:spacing w:after="120"/>
      <w:ind w:right="0"/>
      <w:outlineLvl w:val="7"/>
    </w:pPr>
  </w:style>
  <w:style w:type="paragraph" w:styleId="Heading9">
    <w:name w:val="heading 9"/>
    <w:basedOn w:val="Normal"/>
    <w:next w:val="Normal"/>
    <w:qFormat/>
    <w:pPr>
      <w:numPr>
        <w:ilvl w:val="8"/>
        <w:numId w:val="1"/>
      </w:numPr>
      <w:spacing w:after="12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nglish1">
    <w:name w:val="HeadEnglish 1"/>
    <w:basedOn w:val="NormalEnglish"/>
    <w:next w:val="NormalEnglish"/>
    <w:pPr>
      <w:numPr>
        <w:numId w:val="2"/>
      </w:numPr>
      <w:spacing w:before="120" w:after="120"/>
    </w:pPr>
    <w:rPr>
      <w:b/>
      <w:bCs/>
      <w:caps/>
      <w:sz w:val="24"/>
      <w:szCs w:val="28"/>
    </w:rPr>
  </w:style>
  <w:style w:type="paragraph" w:customStyle="1" w:styleId="HeadEnglish2">
    <w:name w:val="HeadEnglish 2"/>
    <w:basedOn w:val="NormalEnglish"/>
    <w:next w:val="NormalEnglish"/>
    <w:pPr>
      <w:numPr>
        <w:ilvl w:val="1"/>
        <w:numId w:val="2"/>
      </w:numPr>
      <w:spacing w:before="60" w:after="120"/>
    </w:pPr>
    <w:rPr>
      <w:b/>
      <w:bCs/>
      <w:sz w:val="24"/>
      <w:szCs w:val="26"/>
    </w:rPr>
  </w:style>
  <w:style w:type="paragraph" w:customStyle="1" w:styleId="NormalEnglish">
    <w:name w:val="NormalEnglish"/>
    <w:pPr>
      <w:spacing w:line="360" w:lineRule="auto"/>
    </w:pPr>
    <w:rPr>
      <w:rFonts w:cs="David"/>
      <w:sz w:val="22"/>
      <w:szCs w:val="24"/>
      <w:lang w:eastAsia="en-US"/>
    </w:rPr>
  </w:style>
  <w:style w:type="paragraph" w:styleId="TOC1">
    <w:name w:val="toc 1"/>
    <w:basedOn w:val="Normal"/>
    <w:next w:val="Normal"/>
    <w:autoRedefine/>
    <w:uiPriority w:val="39"/>
    <w:rsid w:val="00BC4158"/>
    <w:pPr>
      <w:tabs>
        <w:tab w:val="left" w:pos="567"/>
        <w:tab w:val="left" w:pos="850"/>
        <w:tab w:val="right" w:pos="9071"/>
      </w:tabs>
      <w:spacing w:before="120" w:after="120"/>
    </w:pPr>
    <w:rPr>
      <w:b/>
      <w:bCs/>
      <w:caps/>
      <w:noProof/>
      <w:szCs w:val="22"/>
    </w:rPr>
  </w:style>
  <w:style w:type="paragraph" w:styleId="TOC2">
    <w:name w:val="toc 2"/>
    <w:basedOn w:val="Normal"/>
    <w:next w:val="Normal"/>
    <w:autoRedefine/>
    <w:uiPriority w:val="39"/>
    <w:pPr>
      <w:ind w:left="220"/>
    </w:pPr>
    <w:rPr>
      <w:rFonts w:cs="Times New Roman"/>
      <w:smallCaps/>
      <w:szCs w:val="20"/>
    </w:rPr>
  </w:style>
  <w:style w:type="paragraph" w:styleId="TOC3">
    <w:name w:val="toc 3"/>
    <w:basedOn w:val="Normal"/>
    <w:next w:val="Normal"/>
    <w:autoRedefine/>
    <w:uiPriority w:val="39"/>
    <w:pPr>
      <w:ind w:left="440"/>
    </w:pPr>
    <w:rPr>
      <w:rFonts w:cs="Times New Roman"/>
      <w:i/>
      <w:iCs/>
      <w:szCs w:val="20"/>
    </w:rPr>
  </w:style>
  <w:style w:type="paragraph" w:styleId="TOC4">
    <w:name w:val="toc 4"/>
    <w:basedOn w:val="Normal"/>
    <w:next w:val="Normal"/>
    <w:autoRedefine/>
    <w:uiPriority w:val="39"/>
    <w:pPr>
      <w:ind w:left="660"/>
    </w:pPr>
    <w:rPr>
      <w:rFonts w:cs="Times New Roman"/>
      <w:szCs w:val="18"/>
    </w:rPr>
  </w:style>
  <w:style w:type="paragraph" w:styleId="TOC5">
    <w:name w:val="toc 5"/>
    <w:basedOn w:val="Normal"/>
    <w:next w:val="Normal"/>
    <w:autoRedefine/>
    <w:uiPriority w:val="39"/>
    <w:pPr>
      <w:ind w:left="880"/>
    </w:pPr>
    <w:rPr>
      <w:rFonts w:cs="Times New Roman"/>
      <w:szCs w:val="18"/>
    </w:rPr>
  </w:style>
  <w:style w:type="paragraph" w:styleId="TOC6">
    <w:name w:val="toc 6"/>
    <w:basedOn w:val="Normal"/>
    <w:next w:val="Normal"/>
    <w:autoRedefine/>
    <w:uiPriority w:val="39"/>
    <w:pPr>
      <w:ind w:left="1100"/>
    </w:pPr>
    <w:rPr>
      <w:rFonts w:cs="Times New Roman"/>
      <w:szCs w:val="18"/>
    </w:rPr>
  </w:style>
  <w:style w:type="paragraph" w:styleId="TOC7">
    <w:name w:val="toc 7"/>
    <w:basedOn w:val="Normal"/>
    <w:next w:val="Normal"/>
    <w:autoRedefine/>
    <w:uiPriority w:val="39"/>
    <w:pPr>
      <w:ind w:left="1320"/>
    </w:pPr>
    <w:rPr>
      <w:rFonts w:cs="Times New Roman"/>
      <w:szCs w:val="18"/>
    </w:rPr>
  </w:style>
  <w:style w:type="paragraph" w:styleId="TOC8">
    <w:name w:val="toc 8"/>
    <w:basedOn w:val="Normal"/>
    <w:next w:val="Normal"/>
    <w:autoRedefine/>
    <w:uiPriority w:val="39"/>
    <w:pPr>
      <w:ind w:left="1540"/>
    </w:pPr>
    <w:rPr>
      <w:rFonts w:cs="Times New Roman"/>
      <w:szCs w:val="18"/>
    </w:rPr>
  </w:style>
  <w:style w:type="paragraph" w:styleId="TOC9">
    <w:name w:val="toc 9"/>
    <w:basedOn w:val="Normal"/>
    <w:next w:val="Normal"/>
    <w:autoRedefine/>
    <w:uiPriority w:val="39"/>
    <w:pPr>
      <w:ind w:left="1760"/>
    </w:pPr>
    <w:rPr>
      <w:rFonts w:cs="Times New Roman"/>
      <w:szCs w:val="18"/>
    </w:rPr>
  </w:style>
  <w:style w:type="character" w:styleId="Hyperlink">
    <w:name w:val="Hyperlink"/>
    <w:uiPriority w:val="99"/>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spacing w:line="240" w:lineRule="auto"/>
      <w:jc w:val="both"/>
    </w:pPr>
    <w:rPr>
      <w:spacing w:val="-2"/>
      <w:sz w:val="17"/>
      <w:szCs w:val="20"/>
    </w:rPr>
  </w:style>
  <w:style w:type="paragraph" w:customStyle="1" w:styleId="a">
    <w:name w:val="כותרת_ראשית"/>
    <w:basedOn w:val="Normal"/>
    <w:pPr>
      <w:spacing w:before="120" w:line="240" w:lineRule="auto"/>
      <w:jc w:val="center"/>
    </w:pPr>
    <w:rPr>
      <w:b/>
      <w:bCs/>
      <w:sz w:val="26"/>
      <w:szCs w:val="28"/>
    </w:rPr>
  </w:style>
  <w:style w:type="paragraph" w:customStyle="1" w:styleId="HeadEnglish3">
    <w:name w:val="HeadEnglish 3"/>
    <w:basedOn w:val="NormalEnglish"/>
    <w:next w:val="NormalEnglish"/>
    <w:pPr>
      <w:numPr>
        <w:ilvl w:val="2"/>
        <w:numId w:val="2"/>
      </w:numPr>
      <w:spacing w:before="60" w:after="120"/>
    </w:pPr>
    <w:rPr>
      <w:b/>
      <w:bCs/>
      <w:caps/>
      <w:sz w:val="20"/>
      <w:szCs w:val="22"/>
    </w:rPr>
  </w:style>
  <w:style w:type="paragraph" w:customStyle="1" w:styleId="HeadEnglish4">
    <w:name w:val="HeadEnglish 4"/>
    <w:basedOn w:val="NormalEnglish"/>
    <w:next w:val="NormalEnglish"/>
    <w:pPr>
      <w:numPr>
        <w:ilvl w:val="3"/>
        <w:numId w:val="2"/>
      </w:numPr>
      <w:spacing w:before="60" w:after="120"/>
    </w:pPr>
    <w:rPr>
      <w:u w:val="single"/>
    </w:rPr>
  </w:style>
  <w:style w:type="paragraph" w:customStyle="1" w:styleId="HeadEnglish5">
    <w:name w:val="HeadEnglish 5"/>
    <w:basedOn w:val="NormalEnglish"/>
    <w:next w:val="NormalEnglish"/>
    <w:pPr>
      <w:numPr>
        <w:ilvl w:val="4"/>
        <w:numId w:val="2"/>
      </w:numPr>
      <w:spacing w:before="60" w:after="120"/>
    </w:pPr>
    <w:rPr>
      <w:i/>
      <w:iCs/>
    </w:rPr>
  </w:style>
  <w:style w:type="paragraph" w:customStyle="1" w:styleId="HeadEnglish6">
    <w:name w:val="HeadEnglish 6"/>
    <w:basedOn w:val="NormalEnglish"/>
    <w:next w:val="NormalEnglish"/>
    <w:pPr>
      <w:numPr>
        <w:ilvl w:val="5"/>
        <w:numId w:val="2"/>
      </w:numPr>
      <w:spacing w:before="60" w:after="120"/>
    </w:pPr>
    <w:rPr>
      <w:i/>
      <w:iCs/>
    </w:rPr>
  </w:style>
  <w:style w:type="paragraph" w:customStyle="1" w:styleId="HeadEnglish7">
    <w:name w:val="HeadEnglish 7"/>
    <w:basedOn w:val="NormalEnglish"/>
    <w:next w:val="NormalEnglish"/>
    <w:pPr>
      <w:numPr>
        <w:ilvl w:val="6"/>
        <w:numId w:val="2"/>
      </w:numPr>
      <w:spacing w:before="60" w:after="120"/>
    </w:pPr>
  </w:style>
  <w:style w:type="paragraph" w:customStyle="1" w:styleId="HeadEnglish8">
    <w:name w:val="HeadEnglish 8"/>
    <w:basedOn w:val="NormalEnglish"/>
    <w:next w:val="NormalEnglish"/>
    <w:pPr>
      <w:numPr>
        <w:ilvl w:val="7"/>
        <w:numId w:val="2"/>
      </w:numPr>
      <w:spacing w:before="60"/>
    </w:pPr>
  </w:style>
  <w:style w:type="paragraph" w:customStyle="1" w:styleId="HeadEnglish9">
    <w:name w:val="HeadEnglish 9"/>
    <w:basedOn w:val="NormalEnglish"/>
    <w:next w:val="NormalEnglish"/>
    <w:pPr>
      <w:numPr>
        <w:ilvl w:val="8"/>
        <w:numId w:val="2"/>
      </w:numPr>
      <w:spacing w:before="60"/>
    </w:pPr>
  </w:style>
  <w:style w:type="character" w:styleId="PageNumber">
    <w:name w:val="page number"/>
    <w:semiHidden/>
    <w:rPr>
      <w:rFonts w:ascii="Times New Roman" w:hAnsi="Times New Roman" w:cs="D"/>
      <w:noProof/>
      <w:sz w:val="22"/>
      <w:szCs w:val="24"/>
    </w:rPr>
  </w:style>
  <w:style w:type="paragraph" w:customStyle="1" w:styleId="a0">
    <w:name w:val="כותרת_משנה"/>
    <w:basedOn w:val="a"/>
    <w:pPr>
      <w:framePr w:hSpace="180" w:wrap="around" w:vAnchor="text" w:hAnchor="text" w:xAlign="center" w:y="1"/>
      <w:suppressOverlap/>
      <w:jc w:val="left"/>
    </w:pPr>
    <w:rPr>
      <w:b w:val="0"/>
      <w:bCs w:val="0"/>
      <w:sz w:val="22"/>
      <w:szCs w:val="24"/>
    </w:rPr>
  </w:style>
  <w:style w:type="paragraph" w:customStyle="1" w:styleId="a1">
    <w:name w:val="כותרת_ראשית_אנגלית"/>
    <w:basedOn w:val="a"/>
    <w:pPr>
      <w:bidi w:val="0"/>
      <w:jc w:val="left"/>
    </w:pPr>
  </w:style>
  <w:style w:type="paragraph" w:customStyle="1" w:styleId="a2">
    <w:name w:val="שם_נוהל"/>
    <w:basedOn w:val="Normal"/>
    <w:pPr>
      <w:jc w:val="center"/>
    </w:pPr>
    <w:rPr>
      <w:b/>
      <w:bCs/>
      <w:sz w:val="40"/>
      <w:szCs w:val="40"/>
    </w:rPr>
  </w:style>
  <w:style w:type="paragraph" w:customStyle="1" w:styleId="FooterEnglish">
    <w:name w:val="FooterEnglish"/>
    <w:basedOn w:val="NormalEnglish"/>
    <w:pPr>
      <w:spacing w:line="240" w:lineRule="auto"/>
      <w:jc w:val="both"/>
    </w:pPr>
    <w:rPr>
      <w:spacing w:val="-2"/>
      <w:sz w:val="18"/>
      <w:szCs w:val="20"/>
    </w:rPr>
  </w:style>
  <w:style w:type="paragraph" w:customStyle="1" w:styleId="a3">
    <w:name w:val="שם_נוהל_אנגלית"/>
    <w:basedOn w:val="Normal"/>
    <w:pPr>
      <w:bidi w:val="0"/>
      <w:jc w:val="center"/>
    </w:pPr>
    <w:rPr>
      <w:b/>
      <w:bCs/>
      <w:sz w:val="36"/>
      <w:szCs w:val="36"/>
    </w:rPr>
  </w:style>
  <w:style w:type="paragraph" w:styleId="BodyText">
    <w:name w:val="Body Text"/>
    <w:basedOn w:val="Normal"/>
    <w:semiHidden/>
    <w:pPr>
      <w:bidi w:val="0"/>
      <w:spacing w:after="240" w:line="240" w:lineRule="auto"/>
      <w:jc w:val="center"/>
    </w:pPr>
    <w:rPr>
      <w:b/>
      <w:bCs/>
      <w:sz w:val="40"/>
    </w:rPr>
  </w:style>
  <w:style w:type="paragraph" w:customStyle="1" w:styleId="a4">
    <w:name w:val="נ"/>
    <w:basedOn w:val="Normal"/>
    <w:pPr>
      <w:spacing w:before="120"/>
      <w:jc w:val="both"/>
    </w:pPr>
    <w:rPr>
      <w:sz w:val="24"/>
    </w:rPr>
  </w:style>
  <w:style w:type="paragraph" w:customStyle="1" w:styleId="2e">
    <w:name w:val="2e"/>
    <w:basedOn w:val="Heading2"/>
    <w:pPr>
      <w:keepNext/>
      <w:numPr>
        <w:ilvl w:val="0"/>
        <w:numId w:val="0"/>
      </w:numPr>
      <w:bidi w:val="0"/>
      <w:spacing w:before="120" w:after="0"/>
      <w:ind w:right="1134"/>
      <w:jc w:val="right"/>
    </w:pPr>
    <w:rPr>
      <w:rFonts w:cs="Miriam"/>
      <w:b w:val="0"/>
      <w:bCs w:val="0"/>
      <w:iCs/>
      <w:szCs w:val="24"/>
    </w:rPr>
  </w:style>
  <w:style w:type="paragraph" w:styleId="BodyText3">
    <w:name w:val="Body Text 3"/>
    <w:basedOn w:val="Normal"/>
    <w:semiHidden/>
    <w:pPr>
      <w:spacing w:line="240" w:lineRule="auto"/>
    </w:pPr>
  </w:style>
  <w:style w:type="paragraph" w:customStyle="1" w:styleId="p">
    <w:name w:val="p"/>
    <w:basedOn w:val="Normal"/>
    <w:pPr>
      <w:bidi w:val="0"/>
      <w:spacing w:before="120"/>
      <w:ind w:right="1134"/>
      <w:jc w:val="right"/>
    </w:pPr>
    <w:rPr>
      <w:sz w:val="24"/>
    </w:rPr>
  </w:style>
  <w:style w:type="paragraph" w:customStyle="1" w:styleId="israc2">
    <w:name w:val="israc2"/>
    <w:basedOn w:val="Normal"/>
    <w:next w:val="p"/>
    <w:pPr>
      <w:tabs>
        <w:tab w:val="left" w:pos="851"/>
      </w:tabs>
      <w:bidi w:val="0"/>
      <w:spacing w:before="120"/>
      <w:ind w:left="851" w:hanging="851"/>
      <w:jc w:val="right"/>
    </w:pPr>
    <w:rPr>
      <w:rFonts w:cs="Miriam"/>
      <w:sz w:val="24"/>
    </w:rPr>
  </w:style>
  <w:style w:type="paragraph" w:customStyle="1" w:styleId="1">
    <w:name w:val="פ1"/>
    <w:basedOn w:val="Normal"/>
    <w:pPr>
      <w:spacing w:before="120"/>
      <w:ind w:left="1418"/>
      <w:jc w:val="both"/>
    </w:pPr>
    <w:rPr>
      <w:sz w:val="24"/>
    </w:rPr>
  </w:style>
  <w:style w:type="paragraph" w:customStyle="1" w:styleId="israc3">
    <w:name w:val="israc3"/>
    <w:basedOn w:val="Normal"/>
    <w:next w:val="p"/>
    <w:pPr>
      <w:tabs>
        <w:tab w:val="left" w:pos="851"/>
      </w:tabs>
      <w:bidi w:val="0"/>
      <w:spacing w:before="120"/>
      <w:ind w:left="851" w:hanging="851"/>
      <w:jc w:val="right"/>
    </w:pPr>
    <w:rPr>
      <w:rFonts w:cs="Miriam"/>
      <w:sz w:val="24"/>
    </w:rPr>
  </w:style>
  <w:style w:type="paragraph" w:styleId="BalloonText">
    <w:name w:val="Balloon Text"/>
    <w:basedOn w:val="Normal"/>
    <w:link w:val="BalloonTextChar"/>
    <w:uiPriority w:val="99"/>
    <w:semiHidden/>
    <w:unhideWhenUsed/>
    <w:rsid w:val="00091AA0"/>
    <w:pPr>
      <w:spacing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91AA0"/>
    <w:rPr>
      <w:rFonts w:ascii="Tahoma" w:hAnsi="Tahoma" w:cs="Tahoma"/>
      <w:sz w:val="16"/>
      <w:szCs w:val="16"/>
    </w:rPr>
  </w:style>
  <w:style w:type="paragraph" w:styleId="Revision">
    <w:name w:val="Revision"/>
    <w:hidden/>
    <w:uiPriority w:val="99"/>
    <w:semiHidden/>
    <w:rsid w:val="00717B7A"/>
    <w:rPr>
      <w:rFonts w:cs="David"/>
      <w:sz w:val="22"/>
      <w:szCs w:val="24"/>
      <w:lang w:eastAsia="en-US"/>
    </w:rPr>
  </w:style>
  <w:style w:type="table" w:styleId="TableGrid">
    <w:name w:val="Table Grid"/>
    <w:basedOn w:val="TableNormal"/>
    <w:uiPriority w:val="59"/>
    <w:rsid w:val="006613F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712"/>
    <w:pPr>
      <w:spacing w:after="160" w:line="259" w:lineRule="auto"/>
      <w:ind w:left="720"/>
      <w:contextualSpacing/>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9C2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youtube.com/watch?v=qwixsEIQ7e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www.youtube.com/watch?v=S38e-t6rhKA" TargetMode="External"/><Relationship Id="rId2" Type="http://schemas.openxmlformats.org/officeDocument/2006/relationships/customXml" Target="../customXml/item2.xml"/><Relationship Id="rId16" Type="http://schemas.openxmlformats.org/officeDocument/2006/relationships/hyperlink" Target="https://www.youtube.com/watch?v=2BEPQsfUg2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youtube.com/watch?v=Oxfukizky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pro.com/en/il/news/how-to-use-gopro-for-webc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lanit\Application%20Data\Microsoft\Templates\&#1504;&#1493;&#1492;&#1500;%20&#1491;&#1493;-&#1500;&#1513;&#1493;&#1504;&#14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38F6829A8ED4189872CCDF43B95AE" ma:contentTypeVersion="4" ma:contentTypeDescription="Create a new document." ma:contentTypeScope="" ma:versionID="ced7270fd344f6df317fda42ba622f70">
  <xsd:schema xmlns:xsd="http://www.w3.org/2001/XMLSchema" xmlns:xs="http://www.w3.org/2001/XMLSchema" xmlns:p="http://schemas.microsoft.com/office/2006/metadata/properties" xmlns:ns2="9bde64a9-1a6a-463b-8011-9ab628f23fcb" xmlns:ns3="badede34-4fa4-4cd6-9c2e-31701bcad64b" targetNamespace="http://schemas.microsoft.com/office/2006/metadata/properties" ma:root="true" ma:fieldsID="10e3da54393ef598e393bf43a9f19e29" ns2:_="" ns3:_="">
    <xsd:import namespace="9bde64a9-1a6a-463b-8011-9ab628f23fcb"/>
    <xsd:import namespace="badede34-4fa4-4cd6-9c2e-31701bcad6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e64a9-1a6a-463b-8011-9ab628f23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dede34-4fa4-4cd6-9c2e-31701bcad6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1E7C1-F6F4-4BF8-853B-B7975991B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e64a9-1a6a-463b-8011-9ab628f23fcb"/>
    <ds:schemaRef ds:uri="badede34-4fa4-4cd6-9c2e-31701bcad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C653-9C60-446E-9742-D03132FE154E}">
  <ds:schemaRefs>
    <ds:schemaRef ds:uri="http://schemas.openxmlformats.org/officeDocument/2006/bibliography"/>
  </ds:schemaRefs>
</ds:datastoreItem>
</file>

<file path=customXml/itemProps3.xml><?xml version="1.0" encoding="utf-8"?>
<ds:datastoreItem xmlns:ds="http://schemas.openxmlformats.org/officeDocument/2006/customXml" ds:itemID="{4D2D5D55-D3CF-4D9D-9C8D-89639DC6B082}">
  <ds:schemaRefs>
    <ds:schemaRef ds:uri="http://schemas.microsoft.com/sharepoint/v3/contenttype/forms"/>
  </ds:schemaRefs>
</ds:datastoreItem>
</file>

<file path=customXml/itemProps4.xml><?xml version="1.0" encoding="utf-8"?>
<ds:datastoreItem xmlns:ds="http://schemas.openxmlformats.org/officeDocument/2006/customXml" ds:itemID="{0D549520-A973-46CA-802B-992CC542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נוהל דו-לשוני</Template>
  <TotalTime>139</TotalTime>
  <Pages>2</Pages>
  <Words>3785</Words>
  <Characters>18929</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
    </vt:vector>
  </TitlesOfParts>
  <Company>הרשות הלאומית להסמכת מעבדות</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ilanit</dc:creator>
  <cp:keywords/>
  <cp:lastModifiedBy>Yakir Jaoui</cp:lastModifiedBy>
  <cp:revision>12</cp:revision>
  <cp:lastPrinted>2016-03-31T09:46:00Z</cp:lastPrinted>
  <dcterms:created xsi:type="dcterms:W3CDTF">2021-05-07T11:08:00Z</dcterms:created>
  <dcterms:modified xsi:type="dcterms:W3CDTF">2021-07-12T08:58:00Z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0x01010076938F6829A8ED4189872CCDF43B95AE</vt:lpwstr>
  </property>
</Properties>
</file>